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A9A" w:rsidRDefault="00983A9A" w:rsidP="002C22DD">
      <w:pPr>
        <w:jc w:val="both"/>
        <w:rPr>
          <w:b/>
        </w:rPr>
      </w:pPr>
      <w:r>
        <w:rPr>
          <w:b/>
        </w:rPr>
        <w:t>CURSO DE DERECHO NOTARIAL</w:t>
      </w:r>
    </w:p>
    <w:p w:rsidR="00983A9A" w:rsidRDefault="00983A9A" w:rsidP="002C22DD">
      <w:pPr>
        <w:jc w:val="both"/>
      </w:pPr>
      <w:r>
        <w:t>El notariado es una función pública, pero el notario NO es un funcionario público.</w:t>
      </w:r>
      <w:r w:rsidR="00D2232D">
        <w:t xml:space="preserve"> El notario ejerce una  función pública, por lo tanto es un </w:t>
      </w:r>
      <w:r w:rsidR="00D2232D" w:rsidRPr="00D2232D">
        <w:rPr>
          <w:i/>
        </w:rPr>
        <w:t>delegado del estado.</w:t>
      </w:r>
    </w:p>
    <w:p w:rsidR="00D2232D" w:rsidRPr="00D2232D" w:rsidRDefault="00D2232D" w:rsidP="002C22DD">
      <w:pPr>
        <w:jc w:val="both"/>
        <w:rPr>
          <w:b/>
        </w:rPr>
      </w:pPr>
      <w:r w:rsidRPr="00D2232D">
        <w:rPr>
          <w:b/>
        </w:rPr>
        <w:t xml:space="preserve">¿Qué es un </w:t>
      </w:r>
      <w:proofErr w:type="spellStart"/>
      <w:r w:rsidRPr="00D2232D">
        <w:rPr>
          <w:b/>
        </w:rPr>
        <w:t>desalizado</w:t>
      </w:r>
      <w:proofErr w:type="spellEnd"/>
      <w:r w:rsidRPr="00D2232D">
        <w:rPr>
          <w:b/>
        </w:rPr>
        <w:t xml:space="preserve"> notarial?</w:t>
      </w:r>
    </w:p>
    <w:p w:rsidR="00D2232D" w:rsidRDefault="00D2232D" w:rsidP="00144ABD">
      <w:pPr>
        <w:tabs>
          <w:tab w:val="right" w:pos="8504"/>
        </w:tabs>
        <w:jc w:val="both"/>
      </w:pPr>
      <w:r>
        <w:t>Es hacer comparecer a testigos que ya están muertos.</w:t>
      </w:r>
      <w:r w:rsidR="00144ABD">
        <w:tab/>
      </w:r>
      <w:bookmarkStart w:id="0" w:name="_GoBack"/>
      <w:bookmarkEnd w:id="0"/>
    </w:p>
    <w:p w:rsidR="00D2232D" w:rsidRDefault="00D2232D" w:rsidP="002C22DD">
      <w:pPr>
        <w:jc w:val="both"/>
      </w:pPr>
      <w:r>
        <w:t>El derecho notarial es un conjunto de doctrinas y normas jurídicas que regulan la función notarial y el instrumento público. .</w:t>
      </w:r>
    </w:p>
    <w:p w:rsidR="00D2232D" w:rsidRPr="00D2232D" w:rsidRDefault="00D2232D" w:rsidP="002C22DD">
      <w:pPr>
        <w:jc w:val="both"/>
        <w:rPr>
          <w:b/>
        </w:rPr>
      </w:pPr>
      <w:r w:rsidRPr="00D2232D">
        <w:rPr>
          <w:b/>
        </w:rPr>
        <w:t>¿Qué es la protocolización?</w:t>
      </w:r>
    </w:p>
    <w:p w:rsidR="00D2232D" w:rsidRDefault="00D2232D" w:rsidP="002C22DD">
      <w:pPr>
        <w:jc w:val="both"/>
      </w:pPr>
      <w:r>
        <w:t>Es la transcripción literal de un documento público o privado; o de una sentencia.</w:t>
      </w:r>
    </w:p>
    <w:p w:rsidR="00D2232D" w:rsidRPr="00D2232D" w:rsidRDefault="00D2232D" w:rsidP="002C22DD">
      <w:pPr>
        <w:jc w:val="both"/>
        <w:rPr>
          <w:b/>
        </w:rPr>
      </w:pPr>
      <w:r w:rsidRPr="00D2232D">
        <w:rPr>
          <w:b/>
        </w:rPr>
        <w:t>¿Una carta de amor se puede protocolizar?</w:t>
      </w:r>
    </w:p>
    <w:p w:rsidR="00D2232D" w:rsidRDefault="00D2232D" w:rsidP="002C22DD">
      <w:pPr>
        <w:jc w:val="both"/>
      </w:pPr>
      <w:r>
        <w:t>No, porque no tiene trascendencia jurídica. Sólo daría un testimonio, porque no genera obligación alguna.</w:t>
      </w:r>
    </w:p>
    <w:p w:rsidR="00D2232D" w:rsidRDefault="00D2232D" w:rsidP="002C22DD">
      <w:pPr>
        <w:jc w:val="both"/>
        <w:rPr>
          <w:b/>
        </w:rPr>
      </w:pPr>
      <w:r w:rsidRPr="00D2232D">
        <w:rPr>
          <w:b/>
        </w:rPr>
        <w:t>¿Cuántos testimonios se extienden en el caso de un mutuo?</w:t>
      </w:r>
    </w:p>
    <w:p w:rsidR="00D2232D" w:rsidRDefault="00D2232D" w:rsidP="002C22DD">
      <w:pPr>
        <w:jc w:val="both"/>
      </w:pPr>
      <w:r>
        <w:t>Solo uno, porque si se extienden más puede obrarse de mala fe, ejecutándolo varias veces.</w:t>
      </w:r>
    </w:p>
    <w:p w:rsidR="00D2232D" w:rsidRDefault="00D2232D" w:rsidP="002C22DD">
      <w:pPr>
        <w:jc w:val="both"/>
      </w:pPr>
      <w:r>
        <w:t>Requisito de la protocolización para que tenga validez:</w:t>
      </w:r>
    </w:p>
    <w:p w:rsidR="00D2232D" w:rsidRDefault="00D2232D" w:rsidP="002C22DD">
      <w:pPr>
        <w:jc w:val="both"/>
      </w:pPr>
      <w:r>
        <w:t xml:space="preserve">El notario consigna que entregó el documento original y agrega una copia certificada, se transcribe íntegramente el documento, haciéndole constar con el original. </w:t>
      </w:r>
    </w:p>
    <w:p w:rsidR="00D2232D" w:rsidRPr="00D2232D" w:rsidRDefault="00D2232D" w:rsidP="002C22DD">
      <w:pPr>
        <w:jc w:val="both"/>
        <w:rPr>
          <w:b/>
        </w:rPr>
      </w:pPr>
      <w:r w:rsidRPr="00D2232D">
        <w:rPr>
          <w:b/>
        </w:rPr>
        <w:t>¿Es lo mismo escritura pública que instrumento público?</w:t>
      </w:r>
    </w:p>
    <w:p w:rsidR="00D2232D" w:rsidRDefault="00D2232D" w:rsidP="002C22DD">
      <w:pPr>
        <w:jc w:val="both"/>
      </w:pPr>
      <w:r>
        <w:t>No, escritura pública es el género e instrumento público es la especie.</w:t>
      </w:r>
    </w:p>
    <w:p w:rsidR="00D2232D" w:rsidRDefault="00D2232D" w:rsidP="002C22DD">
      <w:pPr>
        <w:jc w:val="both"/>
      </w:pPr>
      <w:r>
        <w:t>¿</w:t>
      </w:r>
      <w:r w:rsidR="002D3AE7">
        <w:t>Cuáles con las excepciones de actas notariales que sí se asientan en el protocolo?</w:t>
      </w:r>
    </w:p>
    <w:p w:rsidR="002D3AE7" w:rsidRDefault="002D3AE7" w:rsidP="002C22DD">
      <w:pPr>
        <w:jc w:val="both"/>
      </w:pPr>
      <w:r>
        <w:t>En el caso del testamento cerrado. El notario va a levantar un acta notarial que va a hacer constar en su libro de protocolo y el testimonio lo pegará en la cubierta. Este es un caso de excepción ya que en esta oportunidad EL NOTARIO VA A ESTAMPAR SU SELLO DE NOTARIO. La otra excepción ocurre en la razón de cierre.</w:t>
      </w:r>
    </w:p>
    <w:p w:rsidR="002D3AE7" w:rsidRDefault="002D3AE7" w:rsidP="002C22DD">
      <w:pPr>
        <w:jc w:val="both"/>
      </w:pPr>
      <w:r>
        <w:t xml:space="preserve">Art. 344 </w:t>
      </w:r>
      <w:proofErr w:type="spellStart"/>
      <w:r>
        <w:t>Com</w:t>
      </w:r>
      <w:proofErr w:type="spellEnd"/>
      <w:r>
        <w:t xml:space="preserve"> también constituye una excepción.</w:t>
      </w:r>
    </w:p>
    <w:p w:rsidR="00F17CD4" w:rsidRPr="0098130C" w:rsidRDefault="00515511" w:rsidP="002C22DD">
      <w:pPr>
        <w:jc w:val="both"/>
        <w:rPr>
          <w:b/>
        </w:rPr>
      </w:pPr>
      <w:r w:rsidRPr="0098130C">
        <w:rPr>
          <w:b/>
        </w:rPr>
        <w:t>¿Un vigésimo de lotería es un título valor?</w:t>
      </w:r>
    </w:p>
    <w:p w:rsidR="00515511" w:rsidRDefault="00515511" w:rsidP="002C22DD">
      <w:pPr>
        <w:jc w:val="both"/>
      </w:pPr>
      <w:r>
        <w:t>Primero hay que recordar los requisitos de un título valor: literalidad, autonomía, legitimación, incorporación. Si una de las cuatro características no se cumple, entonces NO es un título valor.  El vigésimo de lotería en este caso NO es un título valor, porque no se cumplen las categorías de AUTONOMÍA y de INCORPORACIÓN.</w:t>
      </w:r>
    </w:p>
    <w:p w:rsidR="002C22DD" w:rsidRPr="0098130C" w:rsidRDefault="002C22DD" w:rsidP="002C22DD">
      <w:pPr>
        <w:jc w:val="both"/>
        <w:rPr>
          <w:b/>
        </w:rPr>
      </w:pPr>
      <w:r w:rsidRPr="0098130C">
        <w:rPr>
          <w:b/>
        </w:rPr>
        <w:t xml:space="preserve">¿Usted como notario llega a su despacho una persona y le dice que </w:t>
      </w:r>
      <w:proofErr w:type="spellStart"/>
      <w:r w:rsidRPr="0098130C">
        <w:rPr>
          <w:b/>
        </w:rPr>
        <w:t>protocolíce</w:t>
      </w:r>
      <w:proofErr w:type="spellEnd"/>
      <w:r w:rsidRPr="0098130C">
        <w:rPr>
          <w:b/>
        </w:rPr>
        <w:t xml:space="preserve"> una letra cambio?</w:t>
      </w:r>
    </w:p>
    <w:p w:rsidR="002C22DD" w:rsidRDefault="0098130C" w:rsidP="002C22DD">
      <w:pPr>
        <w:jc w:val="both"/>
      </w:pPr>
      <w:r>
        <w:lastRenderedPageBreak/>
        <w:t>Primeramente, debe de recordar ¿Qué objetivo tiene la protocolización? (Darle vida pública a los documentos privados</w:t>
      </w:r>
      <w:r w:rsidR="00841DC3">
        <w:t>, reproducción literal de un documento público o privado</w:t>
      </w:r>
      <w:r>
        <w:t xml:space="preserve">). </w:t>
      </w:r>
      <w:r w:rsidR="00841DC3">
        <w:t xml:space="preserve">Art. 57 </w:t>
      </w:r>
      <w:proofErr w:type="spellStart"/>
      <w:r w:rsidR="00841DC3">
        <w:t>Ln</w:t>
      </w:r>
      <w:proofErr w:type="spellEnd"/>
      <w:r w:rsidR="00841DC3">
        <w:t xml:space="preserve">. Se debe consignar que la letra de cambio es autónoma. </w:t>
      </w:r>
    </w:p>
    <w:p w:rsidR="00841DC3" w:rsidRPr="00580626" w:rsidRDefault="00841DC3" w:rsidP="002C22DD">
      <w:pPr>
        <w:jc w:val="both"/>
        <w:rPr>
          <w:b/>
        </w:rPr>
      </w:pPr>
      <w:r w:rsidRPr="00580626">
        <w:rPr>
          <w:b/>
        </w:rPr>
        <w:t>¿Se puede vender un seguro de vida?</w:t>
      </w:r>
    </w:p>
    <w:p w:rsidR="00841DC3" w:rsidRDefault="00841DC3" w:rsidP="002C22DD">
      <w:pPr>
        <w:jc w:val="both"/>
      </w:pPr>
      <w:r>
        <w:t>Si, se puede</w:t>
      </w:r>
    </w:p>
    <w:p w:rsidR="00841DC3" w:rsidRPr="00580626" w:rsidRDefault="00580626" w:rsidP="002C22DD">
      <w:pPr>
        <w:jc w:val="both"/>
        <w:rPr>
          <w:b/>
        </w:rPr>
      </w:pPr>
      <w:r w:rsidRPr="00580626">
        <w:rPr>
          <w:b/>
        </w:rPr>
        <w:t>¿Cuántas líneas tiene la página de protocolo?</w:t>
      </w:r>
    </w:p>
    <w:p w:rsidR="00580626" w:rsidRDefault="00580626" w:rsidP="002C22DD">
      <w:pPr>
        <w:jc w:val="both"/>
      </w:pPr>
      <w:r>
        <w:t>48 líneas</w:t>
      </w:r>
    </w:p>
    <w:p w:rsidR="00580626" w:rsidRDefault="00580626" w:rsidP="002C22DD">
      <w:pPr>
        <w:jc w:val="both"/>
        <w:rPr>
          <w:b/>
        </w:rPr>
      </w:pPr>
      <w:r w:rsidRPr="00580626">
        <w:rPr>
          <w:b/>
        </w:rPr>
        <w:t>¿El testamento se debe registrar?</w:t>
      </w:r>
    </w:p>
    <w:p w:rsidR="00580626" w:rsidRDefault="00580626" w:rsidP="002C22DD">
      <w:pPr>
        <w:jc w:val="both"/>
      </w:pPr>
      <w:r>
        <w:t>El testamento NO se registra en ninguna parte, sólo se deposita en la sección de notariado.</w:t>
      </w:r>
    </w:p>
    <w:p w:rsidR="00580626" w:rsidRPr="00580626" w:rsidRDefault="00580626" w:rsidP="002C22DD">
      <w:pPr>
        <w:jc w:val="both"/>
        <w:rPr>
          <w:b/>
        </w:rPr>
      </w:pPr>
      <w:r w:rsidRPr="00580626">
        <w:rPr>
          <w:b/>
        </w:rPr>
        <w:t>¿Cómo se transfiere un título valor?</w:t>
      </w:r>
    </w:p>
    <w:p w:rsidR="00580626" w:rsidRPr="00580626" w:rsidRDefault="00580626" w:rsidP="00580626">
      <w:pPr>
        <w:tabs>
          <w:tab w:val="left" w:pos="2670"/>
        </w:tabs>
        <w:jc w:val="both"/>
        <w:rPr>
          <w:b/>
        </w:rPr>
      </w:pPr>
      <w:r>
        <w:t>Por endoso.</w:t>
      </w:r>
      <w:r w:rsidRPr="00580626">
        <w:rPr>
          <w:b/>
        </w:rPr>
        <w:tab/>
      </w:r>
    </w:p>
    <w:p w:rsidR="00580626" w:rsidRPr="00580626" w:rsidRDefault="00580626" w:rsidP="002C22DD">
      <w:pPr>
        <w:jc w:val="both"/>
        <w:rPr>
          <w:b/>
        </w:rPr>
      </w:pPr>
      <w:r w:rsidRPr="00580626">
        <w:rPr>
          <w:b/>
        </w:rPr>
        <w:t>¿Todos los poderes se hacen en protocolo?</w:t>
      </w:r>
    </w:p>
    <w:p w:rsidR="00580626" w:rsidRDefault="00580626" w:rsidP="002C22DD">
      <w:pPr>
        <w:jc w:val="both"/>
      </w:pPr>
      <w:r>
        <w:t>No, los de tipo penal y los especiales de familia no se protocolizan.</w:t>
      </w:r>
    </w:p>
    <w:p w:rsidR="00580626" w:rsidRPr="00222918" w:rsidRDefault="00580626" w:rsidP="002C22DD">
      <w:pPr>
        <w:jc w:val="both"/>
        <w:rPr>
          <w:b/>
        </w:rPr>
      </w:pPr>
      <w:r w:rsidRPr="00222918">
        <w:rPr>
          <w:b/>
        </w:rPr>
        <w:t>¿Podrá un estadounidense otorgar un testamento dejándole una</w:t>
      </w:r>
      <w:r w:rsidR="00222918" w:rsidRPr="00222918">
        <w:rPr>
          <w:b/>
        </w:rPr>
        <w:t xml:space="preserve"> propiedad a un hijo en EE.UU y otra a un hijo en ESA?</w:t>
      </w:r>
    </w:p>
    <w:p w:rsidR="00222918" w:rsidRDefault="00222918" w:rsidP="002C22DD">
      <w:pPr>
        <w:jc w:val="both"/>
      </w:pPr>
      <w:r>
        <w:t>Leer Art. 16, 17, 1021 C. y Art. 3 LN</w:t>
      </w:r>
    </w:p>
    <w:p w:rsidR="00222918" w:rsidRDefault="00222918" w:rsidP="002C22DD">
      <w:pPr>
        <w:jc w:val="both"/>
      </w:pPr>
      <w:r>
        <w:t xml:space="preserve">Si, se puede, pero cuando se trae el testamento debe hacerse el </w:t>
      </w:r>
      <w:proofErr w:type="spellStart"/>
      <w:r>
        <w:t>apostillaje</w:t>
      </w:r>
      <w:proofErr w:type="spellEnd"/>
      <w:r>
        <w:t xml:space="preserve">. El Min Relaciones Exteriores, autentica la firma en </w:t>
      </w:r>
      <w:proofErr w:type="spellStart"/>
      <w:r>
        <w:t>Oficialia</w:t>
      </w:r>
      <w:proofErr w:type="spellEnd"/>
      <w:r>
        <w:t xml:space="preserve"> mayor.</w:t>
      </w:r>
    </w:p>
    <w:p w:rsidR="00222918" w:rsidRDefault="00222918" w:rsidP="002C22DD">
      <w:pPr>
        <w:jc w:val="both"/>
      </w:pPr>
      <w:r>
        <w:t>¿Podrá celebrar el matrimonio el matrimonio de una menor salvadoreña con un extranjero?</w:t>
      </w:r>
    </w:p>
    <w:p w:rsidR="00222918" w:rsidRDefault="00222918" w:rsidP="002C22DD">
      <w:pPr>
        <w:jc w:val="both"/>
      </w:pPr>
      <w:r>
        <w:t>Relacionar. Artículos 14 Ord 1º de Cf.</w:t>
      </w:r>
    </w:p>
    <w:p w:rsidR="00222918" w:rsidRDefault="00222918" w:rsidP="002C22DD">
      <w:pPr>
        <w:jc w:val="both"/>
      </w:pPr>
      <w:r>
        <w:t>Si tiene más de 5 años de residir en el país, puede casarlo, pero si NO tiene 5 años lo tiene que casar  EXCLUSIVAMENTE el Gobernador político departamental.</w:t>
      </w:r>
    </w:p>
    <w:p w:rsidR="00222918" w:rsidRDefault="00222918" w:rsidP="002C22DD">
      <w:pPr>
        <w:jc w:val="both"/>
      </w:pPr>
      <w:r>
        <w:t>Relacionar Artículos 125 Ley de Extranjería y Art. 33 (Necesidad de intérprete).</w:t>
      </w:r>
    </w:p>
    <w:p w:rsidR="00222918" w:rsidRDefault="00222918" w:rsidP="002C22DD">
      <w:pPr>
        <w:jc w:val="both"/>
      </w:pPr>
      <w:r>
        <w:t>Todo esto debe consignarse en el documento, y si faltase uno de los padres para otorgar el consentimiento deberá seguirse las DILIGENCIAS DE AUSENCIA DE PADRE.</w:t>
      </w:r>
    </w:p>
    <w:p w:rsidR="00222918" w:rsidRPr="00222918" w:rsidRDefault="00222918" w:rsidP="002C22DD">
      <w:pPr>
        <w:jc w:val="both"/>
        <w:rPr>
          <w:b/>
        </w:rPr>
      </w:pPr>
      <w:r w:rsidRPr="00222918">
        <w:rPr>
          <w:b/>
        </w:rPr>
        <w:t>¿Debe hacerse, obligatoriamente, lo estipulado en el Art. 29 del Código de Familia?</w:t>
      </w:r>
    </w:p>
    <w:p w:rsidR="00222918" w:rsidRDefault="00313E50" w:rsidP="002C22DD">
      <w:pPr>
        <w:jc w:val="both"/>
      </w:pPr>
      <w:r>
        <w:t>Lo consignado en este artículo, ya no se ocupa, quedo derogado con la Ley del Documento Único de Identidad. En el pasaporte si se puede hacer. Si ha habido algún cambio de nombre debe relacionarse siempre la escritura de identidad.</w:t>
      </w:r>
    </w:p>
    <w:p w:rsidR="00313E50" w:rsidRPr="00313E50" w:rsidRDefault="00313E50" w:rsidP="002C22DD">
      <w:pPr>
        <w:jc w:val="both"/>
        <w:rPr>
          <w:b/>
        </w:rPr>
      </w:pPr>
      <w:r w:rsidRPr="00313E50">
        <w:rPr>
          <w:b/>
        </w:rPr>
        <w:t xml:space="preserve">¿Puede un joven de 15 años comparece a otorgar un arrendamiento de inmueble comprado por su propio </w:t>
      </w:r>
      <w:proofErr w:type="spellStart"/>
      <w:r w:rsidRPr="00313E50">
        <w:rPr>
          <w:b/>
        </w:rPr>
        <w:t>pecunio</w:t>
      </w:r>
      <w:proofErr w:type="spellEnd"/>
      <w:r w:rsidRPr="00313E50">
        <w:rPr>
          <w:b/>
        </w:rPr>
        <w:t>?</w:t>
      </w:r>
    </w:p>
    <w:p w:rsidR="00313E50" w:rsidRDefault="00313E50" w:rsidP="002C22DD">
      <w:pPr>
        <w:jc w:val="both"/>
      </w:pPr>
      <w:r>
        <w:lastRenderedPageBreak/>
        <w:t>Relacionar Art. 228 y 230 Cf.</w:t>
      </w:r>
    </w:p>
    <w:p w:rsidR="00313E50" w:rsidRDefault="00313E50" w:rsidP="002C22DD">
      <w:pPr>
        <w:jc w:val="both"/>
      </w:pPr>
      <w:r>
        <w:t xml:space="preserve">Sí, se puede, pero el plazo de ese contrato de arrendamiento no debe exceder los tres años. Hasta que cumpla los dieciocho años. Debe conseguir que el menor le afirme que tiene negocio y puede otorgar una declaración jurada. También puede ocupar testigos que den fe del negocio del menor. </w:t>
      </w:r>
    </w:p>
    <w:p w:rsidR="00313E50" w:rsidRPr="009E262C" w:rsidRDefault="009E262C" w:rsidP="002C22DD">
      <w:pPr>
        <w:jc w:val="both"/>
        <w:rPr>
          <w:b/>
        </w:rPr>
      </w:pPr>
      <w:r w:rsidRPr="009E262C">
        <w:rPr>
          <w:b/>
        </w:rPr>
        <w:t>¿Quién debe comparecer a otorgar una escritura de venta de un menor casado?</w:t>
      </w:r>
    </w:p>
    <w:p w:rsidR="009E262C" w:rsidRDefault="009E262C" w:rsidP="002C22DD">
      <w:pPr>
        <w:jc w:val="both"/>
      </w:pPr>
      <w:r>
        <w:t>Relacionar Art. 130 Cf.</w:t>
      </w:r>
    </w:p>
    <w:p w:rsidR="009E262C" w:rsidRDefault="009E262C" w:rsidP="002C22DD">
      <w:pPr>
        <w:jc w:val="both"/>
      </w:pPr>
      <w:r>
        <w:t xml:space="preserve">Debe haber una autorización judicial, debe de demostrar las </w:t>
      </w:r>
      <w:r w:rsidRPr="009E262C">
        <w:rPr>
          <w:i/>
        </w:rPr>
        <w:t>diligencias de utilidad y necesidad</w:t>
      </w:r>
      <w:r>
        <w:rPr>
          <w:i/>
        </w:rPr>
        <w:t xml:space="preserve"> </w:t>
      </w:r>
      <w:r>
        <w:t xml:space="preserve">(que estudia, que quiere comprar una casa, etc.). El juez va a mandar a alguien a valuar la propiedad y se venderá en pública subasta. </w:t>
      </w:r>
      <w:r w:rsidRPr="009E262C">
        <w:t>Esto es necesario si el inmueble vale de $1,000 en adelante.</w:t>
      </w:r>
    </w:p>
    <w:p w:rsidR="009E262C" w:rsidRPr="009E262C" w:rsidRDefault="009E262C" w:rsidP="002C22DD">
      <w:pPr>
        <w:jc w:val="both"/>
        <w:rPr>
          <w:b/>
        </w:rPr>
      </w:pPr>
      <w:r w:rsidRPr="009E262C">
        <w:rPr>
          <w:b/>
        </w:rPr>
        <w:t>¿Puede un BANCO protestar un cheque?</w:t>
      </w:r>
    </w:p>
    <w:p w:rsidR="009E262C" w:rsidRDefault="009E262C" w:rsidP="002C22DD">
      <w:pPr>
        <w:jc w:val="both"/>
      </w:pPr>
      <w:r>
        <w:t xml:space="preserve">No, el único que puede protestar el cheque es el notario, el banco sólo puede extender una autorización. Art. 816 Com. En los tribunales si no lleva el protesto no le dan el trámite. Art. 755 </w:t>
      </w:r>
      <w:proofErr w:type="spellStart"/>
      <w:r>
        <w:t>Com</w:t>
      </w:r>
      <w:proofErr w:type="spellEnd"/>
      <w:r>
        <w:t>, el protesto debe hacerse constar en acta notarial.</w:t>
      </w:r>
    </w:p>
    <w:p w:rsidR="009E262C" w:rsidRDefault="009E262C" w:rsidP="002C22DD">
      <w:pPr>
        <w:jc w:val="both"/>
        <w:rPr>
          <w:b/>
        </w:rPr>
      </w:pPr>
      <w:r w:rsidRPr="009E262C">
        <w:rPr>
          <w:b/>
        </w:rPr>
        <w:t xml:space="preserve">En una sociedad de personas. </w:t>
      </w:r>
      <w:r>
        <w:rPr>
          <w:b/>
        </w:rPr>
        <w:t>¿</w:t>
      </w:r>
      <w:r w:rsidRPr="009E262C">
        <w:rPr>
          <w:b/>
        </w:rPr>
        <w:t>Se podrá levantar en un acta notarial de un punto durante una sesión?</w:t>
      </w:r>
    </w:p>
    <w:p w:rsidR="009E262C" w:rsidRDefault="009E262C" w:rsidP="002C22DD">
      <w:pPr>
        <w:jc w:val="both"/>
      </w:pPr>
      <w:r>
        <w:rPr>
          <w:noProof/>
          <w:lang w:eastAsia="es-ES"/>
        </w:rPr>
        <mc:AlternateContent>
          <mc:Choice Requires="wps">
            <w:drawing>
              <wp:anchor distT="0" distB="0" distL="114300" distR="114300" simplePos="0" relativeHeight="251659264" behindDoc="0" locked="0" layoutInCell="1" allowOverlap="1" wp14:anchorId="2C44C5A3" wp14:editId="655EC911">
                <wp:simplePos x="0" y="0"/>
                <wp:positionH relativeFrom="column">
                  <wp:posOffset>1567815</wp:posOffset>
                </wp:positionH>
                <wp:positionV relativeFrom="paragraph">
                  <wp:posOffset>455295</wp:posOffset>
                </wp:positionV>
                <wp:extent cx="590550" cy="876300"/>
                <wp:effectExtent l="0" t="0" r="19050" b="19050"/>
                <wp:wrapNone/>
                <wp:docPr id="1" name="1 Cerrar llave"/>
                <wp:cNvGraphicFramePr/>
                <a:graphic xmlns:a="http://schemas.openxmlformats.org/drawingml/2006/main">
                  <a:graphicData uri="http://schemas.microsoft.com/office/word/2010/wordprocessingShape">
                    <wps:wsp>
                      <wps:cNvSpPr/>
                      <wps:spPr>
                        <a:xfrm>
                          <a:off x="0" y="0"/>
                          <a:ext cx="590550" cy="87630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1 Cerrar llave" o:spid="_x0000_s1026" type="#_x0000_t88" style="position:absolute;margin-left:123.45pt;margin-top:35.85pt;width:46.5pt;height:6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" adj="1213" strokecolor="#4579b8 [3044]"/>
            </w:pict>
          </mc:Fallback>
        </mc:AlternateContent>
      </w:r>
      <w:r>
        <w:t xml:space="preserve">El notario puede hacerlo. El Art. 246 Inc. 2º del </w:t>
      </w:r>
      <w:proofErr w:type="spellStart"/>
      <w:r>
        <w:t>Com</w:t>
      </w:r>
      <w:proofErr w:type="spellEnd"/>
      <w:r>
        <w:t xml:space="preserve"> lo autoriza. Es la excepción al Artículo 2 parte final de la Ley de Notariado.</w:t>
      </w:r>
    </w:p>
    <w:p w:rsidR="009E262C" w:rsidRDefault="009E262C" w:rsidP="009E262C">
      <w:pPr>
        <w:spacing w:after="0"/>
        <w:jc w:val="both"/>
      </w:pPr>
      <w:r>
        <w:t xml:space="preserve">Artículo 41 Inc. 2º </w:t>
      </w:r>
      <w:proofErr w:type="spellStart"/>
      <w:r>
        <w:t>Com</w:t>
      </w:r>
      <w:proofErr w:type="spellEnd"/>
    </w:p>
    <w:p w:rsidR="009E262C" w:rsidRDefault="009E262C" w:rsidP="009E262C">
      <w:pPr>
        <w:spacing w:after="0"/>
        <w:jc w:val="both"/>
      </w:pPr>
      <w:r>
        <w:t xml:space="preserve">Artículo 246 Inc. 2º </w:t>
      </w:r>
      <w:proofErr w:type="spellStart"/>
      <w:r>
        <w:t>Com</w:t>
      </w:r>
      <w:proofErr w:type="spellEnd"/>
      <w:r>
        <w:tab/>
      </w:r>
      <w:r>
        <w:tab/>
        <w:t>Excepciones al Artículo 2 LN</w:t>
      </w:r>
    </w:p>
    <w:p w:rsidR="009E262C" w:rsidRDefault="009E262C" w:rsidP="009E262C">
      <w:pPr>
        <w:spacing w:after="0"/>
        <w:jc w:val="both"/>
      </w:pPr>
      <w:r>
        <w:t xml:space="preserve">Artículo 85 </w:t>
      </w:r>
      <w:proofErr w:type="spellStart"/>
      <w:r>
        <w:t>Com</w:t>
      </w:r>
      <w:proofErr w:type="spellEnd"/>
    </w:p>
    <w:p w:rsidR="009E262C" w:rsidRPr="009E262C" w:rsidRDefault="009E262C" w:rsidP="009E262C">
      <w:pPr>
        <w:spacing w:after="0"/>
        <w:jc w:val="both"/>
      </w:pPr>
      <w:r>
        <w:t xml:space="preserve">Artículo 40 </w:t>
      </w:r>
      <w:proofErr w:type="spellStart"/>
      <w:r>
        <w:t>Com</w:t>
      </w:r>
      <w:proofErr w:type="spellEnd"/>
    </w:p>
    <w:p w:rsidR="009E262C" w:rsidRDefault="009E262C" w:rsidP="002C22DD">
      <w:pPr>
        <w:jc w:val="both"/>
        <w:rPr>
          <w:b/>
        </w:rPr>
      </w:pPr>
    </w:p>
    <w:p w:rsidR="009E262C" w:rsidRDefault="009E262C" w:rsidP="002C22DD">
      <w:pPr>
        <w:jc w:val="both"/>
      </w:pPr>
      <w:r>
        <w:t>Estas dos actas deberán ser selladas y firmadas por el notario.</w:t>
      </w:r>
    </w:p>
    <w:p w:rsidR="009E262C" w:rsidRPr="00CA7160" w:rsidRDefault="009E262C" w:rsidP="002C22DD">
      <w:pPr>
        <w:jc w:val="both"/>
        <w:rPr>
          <w:b/>
        </w:rPr>
      </w:pPr>
      <w:r w:rsidRPr="00CA7160">
        <w:rPr>
          <w:b/>
        </w:rPr>
        <w:t xml:space="preserve">¿Se puede </w:t>
      </w:r>
      <w:r w:rsidR="00CA7160" w:rsidRPr="00CA7160">
        <w:rPr>
          <w:b/>
        </w:rPr>
        <w:t>autorizar un instrumento público, en el cual el representante legal de un menor de edad ejerza el comercio?</w:t>
      </w:r>
    </w:p>
    <w:p w:rsidR="00CA7160" w:rsidRDefault="00CA7160" w:rsidP="002C22DD">
      <w:pPr>
        <w:jc w:val="both"/>
      </w:pPr>
      <w:r>
        <w:t>Primero se debe analizar ¿Quiénes pueden ejercer el comercio?</w:t>
      </w:r>
    </w:p>
    <w:p w:rsidR="00CA7160" w:rsidRDefault="00CA7160" w:rsidP="002C22DD">
      <w:pPr>
        <w:jc w:val="both"/>
      </w:pPr>
      <w:r>
        <w:t>Relacionar. Art. 46 C y Art. 7 Nº 1 del Com.</w:t>
      </w:r>
    </w:p>
    <w:p w:rsidR="00CA7160" w:rsidRDefault="00CA7160" w:rsidP="002C22DD">
      <w:pPr>
        <w:jc w:val="both"/>
      </w:pPr>
      <w:r>
        <w:t>En primer momento no puede un menor. Art 12 Com. Se le nombra un curador que será el representante legal.</w:t>
      </w:r>
    </w:p>
    <w:p w:rsidR="00CA7160" w:rsidRPr="00CA7160" w:rsidRDefault="00CA7160" w:rsidP="002C22DD">
      <w:pPr>
        <w:jc w:val="both"/>
        <w:rPr>
          <w:b/>
        </w:rPr>
      </w:pPr>
      <w:r w:rsidRPr="00CA7160">
        <w:rPr>
          <w:b/>
        </w:rPr>
        <w:t>Si a usted le toca intervenir en la venta de una empresa a puerta cerrada. ¿En qué instrumento se va a consignar? ¿Cómo identificará los elementos de una empresa?</w:t>
      </w:r>
    </w:p>
    <w:p w:rsidR="00CA7160" w:rsidRDefault="00CA7160" w:rsidP="002C22DD">
      <w:pPr>
        <w:jc w:val="both"/>
      </w:pPr>
      <w:r>
        <w:t>Se va a consignar mediante el otorgamiento de una ESCRITURA PÚBLICA. Hay que partir de la matrícula de comercio. Relacionar Art. 441 Com.</w:t>
      </w:r>
    </w:p>
    <w:p w:rsidR="00CA7160" w:rsidRDefault="00CA7160" w:rsidP="002C22DD">
      <w:pPr>
        <w:jc w:val="both"/>
      </w:pPr>
      <w:r>
        <w:lastRenderedPageBreak/>
        <w:t xml:space="preserve">Si no tiene matrícula de comercio “huya”. Las empresas tienen responsabilidades con los proveedores. Hay que analizar qué tipo de responsabilidad posee dicha empresa. Art 557 </w:t>
      </w:r>
      <w:proofErr w:type="spellStart"/>
      <w:r>
        <w:t>Com</w:t>
      </w:r>
      <w:proofErr w:type="spellEnd"/>
      <w:r>
        <w:t xml:space="preserve"> (El notario no necesita identificar los elementos).</w:t>
      </w:r>
    </w:p>
    <w:p w:rsidR="00CA7160" w:rsidRDefault="00CA7160" w:rsidP="002C22DD">
      <w:pPr>
        <w:jc w:val="both"/>
      </w:pPr>
      <w:r>
        <w:t xml:space="preserve">Art. 411 </w:t>
      </w:r>
      <w:proofErr w:type="spellStart"/>
      <w:r>
        <w:t>Com</w:t>
      </w:r>
      <w:proofErr w:type="spellEnd"/>
      <w:r>
        <w:t xml:space="preserve"> (Comerciante social) De acuerdo a las normas establecidas.</w:t>
      </w:r>
    </w:p>
    <w:p w:rsidR="00CA7160" w:rsidRPr="00F82B92" w:rsidRDefault="00CA7160" w:rsidP="002C22DD">
      <w:pPr>
        <w:jc w:val="both"/>
        <w:rPr>
          <w:b/>
        </w:rPr>
      </w:pPr>
      <w:r w:rsidRPr="00F82B92">
        <w:rPr>
          <w:b/>
        </w:rPr>
        <w:t>¿En qué momento una hipoteca adquiere fuerza ejecutiva?</w:t>
      </w:r>
    </w:p>
    <w:p w:rsidR="00CA7160" w:rsidRDefault="00CA7160" w:rsidP="002C22DD">
      <w:pPr>
        <w:jc w:val="both"/>
      </w:pPr>
      <w:r>
        <w:t xml:space="preserve">Cuando vence el plazo. La hipoteca nace a la vida jurídica desde el momento en que se inscribe Art. 739 </w:t>
      </w:r>
      <w:proofErr w:type="spellStart"/>
      <w:r>
        <w:t>Com</w:t>
      </w:r>
      <w:proofErr w:type="spellEnd"/>
      <w:r>
        <w:t>, pero adquiere fuerza ejecutiva cuando vence el plazo.</w:t>
      </w:r>
    </w:p>
    <w:p w:rsidR="009E262C" w:rsidRPr="00F82B92" w:rsidRDefault="00F82B92" w:rsidP="002C22DD">
      <w:pPr>
        <w:jc w:val="both"/>
        <w:rPr>
          <w:b/>
        </w:rPr>
      </w:pPr>
      <w:r w:rsidRPr="00F82B92">
        <w:rPr>
          <w:b/>
        </w:rPr>
        <w:t>01/06/13</w:t>
      </w:r>
    </w:p>
    <w:p w:rsidR="00F82B92" w:rsidRDefault="00F82B92" w:rsidP="002C22DD">
      <w:pPr>
        <w:jc w:val="both"/>
        <w:rPr>
          <w:b/>
        </w:rPr>
      </w:pPr>
      <w:r>
        <w:t xml:space="preserve">En ausencia del cónsul, el jefe de misión diplomática va a ejercer el notariado. Donde no hay cónsul lo hará el jefe de misión diplomática </w:t>
      </w:r>
      <w:r w:rsidRPr="00F82B92">
        <w:rPr>
          <w:b/>
        </w:rPr>
        <w:t>permanente</w:t>
      </w:r>
      <w:r>
        <w:rPr>
          <w:b/>
        </w:rPr>
        <w:t xml:space="preserve">. </w:t>
      </w:r>
    </w:p>
    <w:p w:rsidR="00F82B92" w:rsidRDefault="00F82B92" w:rsidP="002C22DD">
      <w:pPr>
        <w:jc w:val="both"/>
      </w:pPr>
      <w:r>
        <w:t>El cónsul de carrera es aquel que ha seguido el debido proceso establecido por ley.</w:t>
      </w:r>
    </w:p>
    <w:p w:rsidR="00F82B92" w:rsidRDefault="00F82B92" w:rsidP="002C22DD">
      <w:pPr>
        <w:jc w:val="both"/>
      </w:pPr>
      <w:r>
        <w:t>El Alcalde lleva un libro de actas NO lleva protocolo.</w:t>
      </w:r>
    </w:p>
    <w:p w:rsidR="00F82B92" w:rsidRDefault="00F82B92" w:rsidP="002C22DD">
      <w:pPr>
        <w:jc w:val="both"/>
      </w:pPr>
      <w:r>
        <w:rPr>
          <w:noProof/>
          <w:lang w:eastAsia="es-ES"/>
        </w:rPr>
        <mc:AlternateContent>
          <mc:Choice Requires="wps">
            <w:drawing>
              <wp:anchor distT="0" distB="0" distL="114300" distR="114300" simplePos="0" relativeHeight="251660288" behindDoc="0" locked="0" layoutInCell="1" allowOverlap="1" wp14:anchorId="6F878BDA" wp14:editId="3E0D2022">
                <wp:simplePos x="0" y="0"/>
                <wp:positionH relativeFrom="column">
                  <wp:posOffset>2329179</wp:posOffset>
                </wp:positionH>
                <wp:positionV relativeFrom="paragraph">
                  <wp:posOffset>264160</wp:posOffset>
                </wp:positionV>
                <wp:extent cx="727390" cy="4023995"/>
                <wp:effectExtent l="8890" t="0" r="24765" b="24765"/>
                <wp:wrapNone/>
                <wp:docPr id="2" name="2 Abrir llave"/>
                <wp:cNvGraphicFramePr/>
                <a:graphic xmlns:a="http://schemas.openxmlformats.org/drawingml/2006/main">
                  <a:graphicData uri="http://schemas.microsoft.com/office/word/2010/wordprocessingShape">
                    <wps:wsp>
                      <wps:cNvSpPr/>
                      <wps:spPr>
                        <a:xfrm rot="16200000">
                          <a:off x="0" y="0"/>
                          <a:ext cx="727390" cy="402399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2 Abrir llave" o:spid="_x0000_s1026" type="#_x0000_t87" style="position:absolute;margin-left:183.4pt;margin-top:20.8pt;width:57.25pt;height:316.8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" adj="325" strokecolor="#4579b8 [3044]"/>
            </w:pict>
          </mc:Fallback>
        </mc:AlternateContent>
      </w:r>
      <w:r>
        <w:t>El Libro de protocolo difiere con el del cónsul y el del Juez de 1º Instancia, porque duran un año calendario, con la diferencia de que ellos usan hojas comunes.</w:t>
      </w:r>
    </w:p>
    <w:p w:rsidR="00F82B92" w:rsidRDefault="00F82B92" w:rsidP="002C22DD">
      <w:pPr>
        <w:jc w:val="both"/>
      </w:pPr>
      <w:r>
        <w:t>Los jueces de 1º instancia únicamente van a utilizar su protocolo únicamente en testamentos abiertos y sólo en caso de que no haya notarios.</w:t>
      </w:r>
    </w:p>
    <w:p w:rsidR="00F82B92" w:rsidRDefault="00F82B92" w:rsidP="002C22DD">
      <w:pPr>
        <w:jc w:val="both"/>
      </w:pPr>
      <w:r>
        <w:t>El libro de protocolo del notario no dura un año calendario.</w:t>
      </w:r>
    </w:p>
    <w:p w:rsidR="00F82B92" w:rsidRDefault="00F82B92" w:rsidP="002C22DD">
      <w:pPr>
        <w:jc w:val="both"/>
      </w:pPr>
      <w:proofErr w:type="spellStart"/>
      <w:r>
        <w:t>Ej</w:t>
      </w:r>
      <w:proofErr w:type="spellEnd"/>
      <w:r>
        <w:t>:</w:t>
      </w:r>
    </w:p>
    <w:p w:rsidR="00F82B92" w:rsidRPr="00F82B92" w:rsidRDefault="00F82B92" w:rsidP="002C22DD">
      <w:pPr>
        <w:jc w:val="both"/>
      </w:pPr>
      <w:r>
        <w:t>31 de mayo de 2012</w:t>
      </w:r>
      <w:r>
        <w:tab/>
      </w:r>
      <w:r>
        <w:tab/>
      </w:r>
      <w:r>
        <w:tab/>
      </w:r>
      <w:r>
        <w:tab/>
      </w:r>
      <w:r>
        <w:tab/>
      </w:r>
      <w:r>
        <w:tab/>
        <w:t>31 de mayo de 2013</w:t>
      </w:r>
    </w:p>
    <w:p w:rsidR="009E262C" w:rsidRPr="009E262C" w:rsidRDefault="00F82B92" w:rsidP="002C22DD">
      <w:pPr>
        <w:jc w:val="both"/>
      </w:pPr>
      <w:r>
        <w:tab/>
      </w:r>
      <w:r>
        <w:tab/>
      </w:r>
      <w:r>
        <w:tab/>
      </w:r>
      <w:r>
        <w:tab/>
      </w:r>
      <w:r>
        <w:tab/>
      </w:r>
      <w:r>
        <w:tab/>
      </w:r>
      <w:r>
        <w:tab/>
      </w:r>
      <w:r>
        <w:tab/>
        <w:t>(Hasta las 12 am)</w:t>
      </w:r>
    </w:p>
    <w:p w:rsidR="00313E50" w:rsidRDefault="00313E50" w:rsidP="002C22DD">
      <w:pPr>
        <w:jc w:val="both"/>
      </w:pPr>
    </w:p>
    <w:p w:rsidR="00F82B92" w:rsidRDefault="00F82B92" w:rsidP="002C22DD">
      <w:pPr>
        <w:jc w:val="both"/>
      </w:pPr>
      <w:r>
        <w:tab/>
      </w:r>
      <w:r>
        <w:tab/>
      </w:r>
      <w:r>
        <w:tab/>
        <w:t>15 DÍAS PARA LA ENTREGA DEL LIBRO DE PROTOCOLO</w:t>
      </w:r>
    </w:p>
    <w:p w:rsidR="00F82B92" w:rsidRDefault="00F82B92" w:rsidP="002C22DD">
      <w:pPr>
        <w:jc w:val="both"/>
      </w:pPr>
      <w:r>
        <w:t>NO SON DÍAS HÁBILES</w:t>
      </w:r>
    </w:p>
    <w:p w:rsidR="00F82B92" w:rsidRDefault="00F82B92" w:rsidP="002C22DD">
      <w:pPr>
        <w:jc w:val="both"/>
      </w:pPr>
      <w:r>
        <w:t>En total son 380 días que el notario va a tener el protocolo, excepto en año bisiesto.</w:t>
      </w:r>
    </w:p>
    <w:p w:rsidR="00F82B92" w:rsidRDefault="00F82B92" w:rsidP="002C22DD">
      <w:pPr>
        <w:jc w:val="both"/>
      </w:pPr>
      <w:r>
        <w:t>Hay que estudiar DERECHO LABORAL (Contrato colectivo).</w:t>
      </w:r>
    </w:p>
    <w:p w:rsidR="00F82B92" w:rsidRDefault="00F82B92" w:rsidP="002C22DD">
      <w:pPr>
        <w:jc w:val="both"/>
      </w:pPr>
      <w:r>
        <w:t>Para inhabilitar notarios la CSJ actúa de oficio en casos excepcionales. Por ejemplo cuando el hecho que hizo el notario cause revuelo popular.</w:t>
      </w:r>
    </w:p>
    <w:p w:rsidR="00F82B92" w:rsidRDefault="00D416DD" w:rsidP="002C22DD">
      <w:pPr>
        <w:jc w:val="both"/>
      </w:pPr>
      <w:r>
        <w:t>Leer. Artículos 9, 10, 31, 33 de la Ley de la Jurisdicción Voluntaria.</w:t>
      </w:r>
    </w:p>
    <w:p w:rsidR="00D416DD" w:rsidRDefault="00D416DD" w:rsidP="002C22DD">
      <w:pPr>
        <w:jc w:val="both"/>
      </w:pPr>
      <w:r>
        <w:t>Si una persona otorga un testamento cerrado o abierto y ahí está reconociendo a un niño que está por nacer. Esta cláusula es la única que queda vigente. Art. 147 CF</w:t>
      </w:r>
    </w:p>
    <w:p w:rsidR="00D416DD" w:rsidRDefault="00D416DD" w:rsidP="002C22DD">
      <w:pPr>
        <w:jc w:val="both"/>
      </w:pPr>
      <w:r>
        <w:lastRenderedPageBreak/>
        <w:t>En el caso del matrimonio de un menor, si sólo uno tiene autoridad parental, esto debe relacionarse en el caso que solo es uno de los padres quien autoriza el matrimonio del menor.</w:t>
      </w:r>
    </w:p>
    <w:p w:rsidR="00D416DD" w:rsidRDefault="00D416DD" w:rsidP="002C22DD">
      <w:pPr>
        <w:jc w:val="both"/>
      </w:pPr>
      <w:r>
        <w:t>Escritura matriz Art. 41 LN</w:t>
      </w:r>
    </w:p>
    <w:p w:rsidR="00D416DD" w:rsidRDefault="00D416DD" w:rsidP="002C22DD">
      <w:pPr>
        <w:jc w:val="both"/>
      </w:pPr>
      <w:r>
        <w:t>Escritura matriz: Es el instrumento público que se asienta en el protocolo con las formalidades de ley.</w:t>
      </w:r>
    </w:p>
    <w:p w:rsidR="00D416DD" w:rsidRPr="00D416DD" w:rsidRDefault="00D416DD" w:rsidP="002C22DD">
      <w:pPr>
        <w:jc w:val="both"/>
        <w:rPr>
          <w:b/>
        </w:rPr>
      </w:pPr>
      <w:r w:rsidRPr="00D416DD">
        <w:rPr>
          <w:b/>
        </w:rPr>
        <w:t>¿Cuáles son las características de una escritura matriz?</w:t>
      </w:r>
    </w:p>
    <w:p w:rsidR="00D416DD" w:rsidRDefault="00D416DD" w:rsidP="002C22DD">
      <w:pPr>
        <w:jc w:val="both"/>
      </w:pPr>
      <w:r>
        <w:t>Art. 2 y 32 LN  y Art. 1570 C.</w:t>
      </w:r>
    </w:p>
    <w:p w:rsidR="00D416DD" w:rsidRDefault="00D416DD" w:rsidP="00D416DD">
      <w:pPr>
        <w:pStyle w:val="Prrafodelista"/>
        <w:numPr>
          <w:ilvl w:val="0"/>
          <w:numId w:val="1"/>
        </w:numPr>
        <w:jc w:val="both"/>
      </w:pPr>
      <w:r>
        <w:t>Es un instrumento, meramente notarial.</w:t>
      </w:r>
    </w:p>
    <w:p w:rsidR="00D416DD" w:rsidRDefault="00D416DD" w:rsidP="00D416DD">
      <w:pPr>
        <w:pStyle w:val="Prrafodelista"/>
        <w:numPr>
          <w:ilvl w:val="0"/>
          <w:numId w:val="1"/>
        </w:numPr>
        <w:jc w:val="both"/>
      </w:pPr>
      <w:r>
        <w:t xml:space="preserve">Es obligatorio que se redacte en registro público </w:t>
      </w:r>
    </w:p>
    <w:p w:rsidR="00D416DD" w:rsidRDefault="00D416DD" w:rsidP="00D416DD">
      <w:pPr>
        <w:pStyle w:val="Prrafodelista"/>
        <w:numPr>
          <w:ilvl w:val="0"/>
          <w:numId w:val="1"/>
        </w:numPr>
        <w:jc w:val="both"/>
      </w:pPr>
      <w:r>
        <w:t>Debe ser autorizado por un funcionario competente Art. 1570 C.</w:t>
      </w:r>
    </w:p>
    <w:p w:rsidR="00D416DD" w:rsidRDefault="00D416DD" w:rsidP="00D416DD">
      <w:pPr>
        <w:pStyle w:val="Prrafodelista"/>
        <w:numPr>
          <w:ilvl w:val="0"/>
          <w:numId w:val="1"/>
        </w:numPr>
        <w:jc w:val="both"/>
      </w:pPr>
      <w:r>
        <w:t xml:space="preserve">Deben de observarse o respetarse las formalidades de ley Art. 22 </w:t>
      </w:r>
      <w:proofErr w:type="spellStart"/>
      <w:r>
        <w:t>Com</w:t>
      </w:r>
      <w:proofErr w:type="spellEnd"/>
      <w:r>
        <w:t xml:space="preserve">, Art. 100 </w:t>
      </w:r>
      <w:proofErr w:type="spellStart"/>
      <w:r>
        <w:t>Com</w:t>
      </w:r>
      <w:proofErr w:type="spellEnd"/>
      <w:r>
        <w:t xml:space="preserve"> y Art. 62 de la Ley de Reestructuración del Registro de la propiedad.</w:t>
      </w:r>
    </w:p>
    <w:p w:rsidR="00D416DD" w:rsidRDefault="00D416DD" w:rsidP="00D416DD">
      <w:pPr>
        <w:jc w:val="both"/>
      </w:pPr>
      <w:r>
        <w:t>En todo negocio se agrega el NIT porque se generan obligaciones tributarias.</w:t>
      </w:r>
    </w:p>
    <w:p w:rsidR="00D416DD" w:rsidRDefault="00A04162" w:rsidP="00D416DD">
      <w:pPr>
        <w:jc w:val="both"/>
        <w:rPr>
          <w:b/>
        </w:rPr>
      </w:pPr>
      <w:r w:rsidRPr="00A04162">
        <w:rPr>
          <w:b/>
        </w:rPr>
        <w:t>Partes de la escritura matriz</w:t>
      </w:r>
    </w:p>
    <w:p w:rsidR="00A04162" w:rsidRDefault="00A04162" w:rsidP="00D416DD">
      <w:pPr>
        <w:jc w:val="both"/>
      </w:pPr>
      <w:r>
        <w:t>Depende del tratadista que las lea:</w:t>
      </w:r>
    </w:p>
    <w:p w:rsidR="00A04162" w:rsidRDefault="00A04162" w:rsidP="00A04162">
      <w:pPr>
        <w:pStyle w:val="Prrafodelista"/>
        <w:numPr>
          <w:ilvl w:val="0"/>
          <w:numId w:val="2"/>
        </w:numPr>
        <w:jc w:val="both"/>
      </w:pPr>
      <w:r>
        <w:t>Comparecencia (Hasta donde dice Y ME DICE)</w:t>
      </w:r>
    </w:p>
    <w:p w:rsidR="00A04162" w:rsidRDefault="00A04162" w:rsidP="00A04162">
      <w:pPr>
        <w:pStyle w:val="Prrafodelista"/>
        <w:numPr>
          <w:ilvl w:val="0"/>
          <w:numId w:val="2"/>
        </w:numPr>
        <w:jc w:val="both"/>
      </w:pPr>
      <w:r>
        <w:t>Exposición (Y ME DICE----hasta la descripción)</w:t>
      </w:r>
    </w:p>
    <w:p w:rsidR="00A04162" w:rsidRDefault="00A04162" w:rsidP="00A04162">
      <w:pPr>
        <w:pStyle w:val="Prrafodelista"/>
        <w:numPr>
          <w:ilvl w:val="0"/>
          <w:numId w:val="2"/>
        </w:numPr>
        <w:jc w:val="both"/>
      </w:pPr>
      <w:r>
        <w:t>Estipulación (Después de la descripción…hasta donde el comprador se da por satisfecho)</w:t>
      </w:r>
    </w:p>
    <w:p w:rsidR="00A04162" w:rsidRDefault="00A04162" w:rsidP="00A04162">
      <w:pPr>
        <w:pStyle w:val="Prrafodelista"/>
        <w:numPr>
          <w:ilvl w:val="0"/>
          <w:numId w:val="2"/>
        </w:numPr>
        <w:jc w:val="both"/>
      </w:pPr>
      <w:r>
        <w:t>Otorgamiento (Así se expresaron los comparecientes….hasta DOY FE)</w:t>
      </w:r>
    </w:p>
    <w:p w:rsidR="00A04162" w:rsidRDefault="00A04162" w:rsidP="00A04162">
      <w:pPr>
        <w:jc w:val="both"/>
      </w:pPr>
      <w:r>
        <w:t>Todo lleva un orden correlativo. La advertencia sería la última cláusula. Dentro del aspecto notarial cuando se hacen los instrumentos la ley nos ordena que en un momento determinado se hagan las enmendaduras. Una tan sola vez habrá SOBRELÍNEAS si es en medio de la página es ENTRELÍNEAS.</w:t>
      </w:r>
    </w:p>
    <w:p w:rsidR="00A04162" w:rsidRDefault="00A04162" w:rsidP="00A04162">
      <w:pPr>
        <w:jc w:val="both"/>
      </w:pPr>
      <w:r>
        <w:t>Dentro de la misma hoja las enmendaduras hay que sacarlas antes de las firmas, después de DOY FE.</w:t>
      </w:r>
    </w:p>
    <w:p w:rsidR="00A04162" w:rsidRDefault="00A04162" w:rsidP="00A04162">
      <w:pPr>
        <w:jc w:val="both"/>
      </w:pPr>
      <w:r>
        <w:t>Testado (corrector)</w:t>
      </w:r>
    </w:p>
    <w:p w:rsidR="00A04162" w:rsidRDefault="00A04162" w:rsidP="00A04162">
      <w:pPr>
        <w:jc w:val="both"/>
      </w:pPr>
      <w:r>
        <w:t>Tachadura (borrar)</w:t>
      </w:r>
    </w:p>
    <w:p w:rsidR="00A04162" w:rsidRDefault="00347AC1" w:rsidP="00A04162">
      <w:pPr>
        <w:jc w:val="both"/>
        <w:rPr>
          <w:b/>
        </w:rPr>
      </w:pPr>
      <w:r w:rsidRPr="00347AC1">
        <w:rPr>
          <w:b/>
        </w:rPr>
        <w:t>¿Si se ha saltado 20 líneas puedes</w:t>
      </w:r>
      <w:r w:rsidR="00A04162" w:rsidRPr="00347AC1">
        <w:rPr>
          <w:b/>
        </w:rPr>
        <w:t xml:space="preserve"> inutilizar 14 re</w:t>
      </w:r>
      <w:r>
        <w:rPr>
          <w:b/>
        </w:rPr>
        <w:t>n</w:t>
      </w:r>
      <w:r w:rsidR="00A04162" w:rsidRPr="00347AC1">
        <w:rPr>
          <w:b/>
        </w:rPr>
        <w:t>glones</w:t>
      </w:r>
      <w:r w:rsidRPr="00347AC1">
        <w:rPr>
          <w:b/>
        </w:rPr>
        <w:t>?</w:t>
      </w:r>
    </w:p>
    <w:p w:rsidR="00347AC1" w:rsidRDefault="00347AC1" w:rsidP="00A04162">
      <w:pPr>
        <w:jc w:val="both"/>
      </w:pPr>
      <w:r>
        <w:t>Si, con la salvedad que en la razón de cierre se señale porque se inutilizaron estos 14 renglones. Art. 8 LN, si deja todo un folio, en la razón de cierre debe relacionarse.</w:t>
      </w:r>
    </w:p>
    <w:p w:rsidR="00347AC1" w:rsidRPr="00347AC1" w:rsidRDefault="00347AC1" w:rsidP="00A04162">
      <w:pPr>
        <w:jc w:val="both"/>
        <w:rPr>
          <w:b/>
        </w:rPr>
      </w:pPr>
      <w:r w:rsidRPr="00347AC1">
        <w:rPr>
          <w:b/>
        </w:rPr>
        <w:t>Los cónsules NO legalizan documentos, solo pueden autenticarlos.</w:t>
      </w:r>
    </w:p>
    <w:p w:rsidR="00347AC1" w:rsidRDefault="00347AC1" w:rsidP="00A04162">
      <w:pPr>
        <w:jc w:val="both"/>
      </w:pPr>
      <w:r>
        <w:t>La ley permite que lo devuelva donde se lo entregaron con la salvedad que debe consignarlo y el Juez manda oficio al lugar donde lo autorizaron.</w:t>
      </w:r>
    </w:p>
    <w:p w:rsidR="00347AC1" w:rsidRDefault="00347AC1" w:rsidP="00A04162">
      <w:pPr>
        <w:jc w:val="both"/>
      </w:pPr>
      <w:r>
        <w:lastRenderedPageBreak/>
        <w:t xml:space="preserve">Art. 13 </w:t>
      </w:r>
      <w:proofErr w:type="spellStart"/>
      <w:r>
        <w:t>Inc</w:t>
      </w:r>
      <w:proofErr w:type="spellEnd"/>
      <w:r>
        <w:t xml:space="preserve"> 2º CF Los notarios no pueden casar en Estados Unidos. Art. 29 LN (Excepto cuando se presume que no va a regresar en mucho tiempo).</w:t>
      </w:r>
    </w:p>
    <w:p w:rsidR="00347AC1" w:rsidRDefault="00347AC1" w:rsidP="00A04162">
      <w:pPr>
        <w:jc w:val="both"/>
        <w:rPr>
          <w:b/>
        </w:rPr>
      </w:pPr>
      <w:r w:rsidRPr="00347AC1">
        <w:rPr>
          <w:b/>
        </w:rPr>
        <w:t>El testamento marítimo tiene vigencia de 90 días</w:t>
      </w:r>
      <w:r>
        <w:rPr>
          <w:b/>
        </w:rPr>
        <w:t>.</w:t>
      </w:r>
    </w:p>
    <w:p w:rsidR="00347AC1" w:rsidRDefault="00347AC1" w:rsidP="00A04162">
      <w:pPr>
        <w:jc w:val="both"/>
      </w:pPr>
      <w:r>
        <w:t>Si llega un anciano de 99 años con DUI y le dice que quiere redactar un testamento abierto y se le asignan 3 testigos instrumentales, conforme al Art. 34 LN y 2 testigos por conocimiento.</w:t>
      </w:r>
    </w:p>
    <w:p w:rsidR="00347AC1" w:rsidRPr="00347AC1" w:rsidRDefault="00347AC1" w:rsidP="00A04162">
      <w:pPr>
        <w:jc w:val="both"/>
        <w:rPr>
          <w:b/>
        </w:rPr>
      </w:pPr>
      <w:r w:rsidRPr="00347AC1">
        <w:rPr>
          <w:b/>
        </w:rPr>
        <w:t>¿Puede el Director de Centros Penales ejercer el notariado sin ninguna restricción?</w:t>
      </w:r>
    </w:p>
    <w:p w:rsidR="00347AC1" w:rsidRDefault="00347AC1" w:rsidP="00A04162">
      <w:pPr>
        <w:jc w:val="both"/>
      </w:pPr>
      <w:r>
        <w:t>Si, de conformidad al Art. 9 LN. Leer el Art. 5 de la Ley de Registros de Centros Penales. (Lo que no puede ejercer es la procuración).</w:t>
      </w:r>
    </w:p>
    <w:p w:rsidR="00347AC1" w:rsidRDefault="00347AC1" w:rsidP="00A04162">
      <w:pPr>
        <w:jc w:val="both"/>
      </w:pPr>
      <w:r>
        <w:t xml:space="preserve">Art. 188 </w:t>
      </w:r>
      <w:proofErr w:type="spellStart"/>
      <w:r>
        <w:t>Cn</w:t>
      </w:r>
      <w:proofErr w:type="spellEnd"/>
      <w:r>
        <w:t>. Establece que los Jueces y magistrados NO pueden ejercer la función notarial mientras estén en el cargo.</w:t>
      </w:r>
    </w:p>
    <w:p w:rsidR="00347AC1" w:rsidRDefault="00347AC1" w:rsidP="00A04162">
      <w:pPr>
        <w:jc w:val="both"/>
      </w:pPr>
      <w:r>
        <w:t>El pro</w:t>
      </w:r>
      <w:r w:rsidR="007923CC">
        <w:t xml:space="preserve">tocolo será plena prueba o </w:t>
      </w:r>
      <w:proofErr w:type="spellStart"/>
      <w:r w:rsidR="007923CC">
        <w:t>semi</w:t>
      </w:r>
      <w:r>
        <w:t>prueba</w:t>
      </w:r>
      <w:proofErr w:type="spellEnd"/>
      <w:r>
        <w:t xml:space="preserve"> en un juicio. Se certificará</w:t>
      </w:r>
      <w:r w:rsidR="007923CC">
        <w:t xml:space="preserve"> y se le sacara fotocopia. No es vinculante para el Juez, esta situación. </w:t>
      </w:r>
    </w:p>
    <w:p w:rsidR="00347AC1" w:rsidRPr="00347AC1" w:rsidRDefault="00347AC1" w:rsidP="00A04162">
      <w:pPr>
        <w:jc w:val="both"/>
      </w:pPr>
    </w:p>
    <w:p w:rsidR="00A04162" w:rsidRPr="00A04162" w:rsidRDefault="00A04162" w:rsidP="00D416DD">
      <w:pPr>
        <w:jc w:val="both"/>
      </w:pPr>
    </w:p>
    <w:p w:rsidR="00F82B92" w:rsidRDefault="00F82B92" w:rsidP="002C22DD">
      <w:pPr>
        <w:jc w:val="both"/>
      </w:pPr>
    </w:p>
    <w:p w:rsidR="00F82B92" w:rsidRDefault="00F82B92" w:rsidP="002C22DD">
      <w:pPr>
        <w:jc w:val="both"/>
      </w:pPr>
    </w:p>
    <w:p w:rsidR="00580626" w:rsidRPr="00580626" w:rsidRDefault="00580626" w:rsidP="002C22DD">
      <w:pPr>
        <w:jc w:val="both"/>
      </w:pPr>
    </w:p>
    <w:p w:rsidR="00580626" w:rsidRDefault="00580626" w:rsidP="002C22DD">
      <w:pPr>
        <w:jc w:val="both"/>
      </w:pPr>
    </w:p>
    <w:p w:rsidR="00841DC3" w:rsidRDefault="00841DC3" w:rsidP="002C22DD">
      <w:pPr>
        <w:jc w:val="both"/>
      </w:pPr>
    </w:p>
    <w:sectPr w:rsidR="00841DC3">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683" w:rsidRDefault="00FA6683" w:rsidP="00472729">
      <w:pPr>
        <w:spacing w:after="0" w:line="240" w:lineRule="auto"/>
      </w:pPr>
      <w:r>
        <w:separator/>
      </w:r>
    </w:p>
  </w:endnote>
  <w:endnote w:type="continuationSeparator" w:id="0">
    <w:p w:rsidR="00FA6683" w:rsidRDefault="00FA6683" w:rsidP="00472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729" w:rsidRPr="00472729" w:rsidRDefault="00472729" w:rsidP="00472729">
    <w:pPr>
      <w:pStyle w:val="Piedepgina"/>
      <w:jc w:val="right"/>
      <w:rPr>
        <w:rFonts w:ascii="Monotype Corsiva" w:hAnsi="Monotype Corsiva"/>
        <w:sz w:val="28"/>
        <w:szCs w:val="28"/>
      </w:rPr>
    </w:pPr>
    <w:proofErr w:type="spellStart"/>
    <w:r w:rsidRPr="00472729">
      <w:rPr>
        <w:rFonts w:ascii="Monotype Corsiva" w:hAnsi="Monotype Corsiva"/>
        <w:sz w:val="28"/>
        <w:szCs w:val="28"/>
      </w:rPr>
      <w:t>Zoily</w:t>
    </w:r>
    <w:proofErr w:type="spellEnd"/>
    <w:r w:rsidRPr="00472729">
      <w:rPr>
        <w:rFonts w:ascii="Monotype Corsiva" w:hAnsi="Monotype Corsiva"/>
        <w:sz w:val="28"/>
        <w:szCs w:val="28"/>
      </w:rPr>
      <w:t xml:space="preserve"> Hernández </w:t>
    </w:r>
  </w:p>
  <w:p w:rsidR="00472729" w:rsidRDefault="0047272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683" w:rsidRDefault="00FA6683" w:rsidP="00472729">
      <w:pPr>
        <w:spacing w:after="0" w:line="240" w:lineRule="auto"/>
      </w:pPr>
      <w:r>
        <w:separator/>
      </w:r>
    </w:p>
  </w:footnote>
  <w:footnote w:type="continuationSeparator" w:id="0">
    <w:p w:rsidR="00FA6683" w:rsidRDefault="00FA6683" w:rsidP="004727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55942"/>
    <w:multiLevelType w:val="hybridMultilevel"/>
    <w:tmpl w:val="0FB059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F314ABB"/>
    <w:multiLevelType w:val="hybridMultilevel"/>
    <w:tmpl w:val="CA280CC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511"/>
    <w:rsid w:val="00024368"/>
    <w:rsid w:val="00144ABD"/>
    <w:rsid w:val="001B3F7E"/>
    <w:rsid w:val="00222918"/>
    <w:rsid w:val="002C22DD"/>
    <w:rsid w:val="002D3AE7"/>
    <w:rsid w:val="00313E50"/>
    <w:rsid w:val="00347AC1"/>
    <w:rsid w:val="00472729"/>
    <w:rsid w:val="00515511"/>
    <w:rsid w:val="00580626"/>
    <w:rsid w:val="007923CC"/>
    <w:rsid w:val="007D2C54"/>
    <w:rsid w:val="00841DC3"/>
    <w:rsid w:val="0098130C"/>
    <w:rsid w:val="00983A9A"/>
    <w:rsid w:val="009E262C"/>
    <w:rsid w:val="00A04162"/>
    <w:rsid w:val="00CA7160"/>
    <w:rsid w:val="00D2232D"/>
    <w:rsid w:val="00D416DD"/>
    <w:rsid w:val="00F17CD4"/>
    <w:rsid w:val="00F82B92"/>
    <w:rsid w:val="00FA66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416DD"/>
    <w:pPr>
      <w:ind w:left="720"/>
      <w:contextualSpacing/>
    </w:pPr>
  </w:style>
  <w:style w:type="paragraph" w:styleId="Encabezado">
    <w:name w:val="header"/>
    <w:basedOn w:val="Normal"/>
    <w:link w:val="EncabezadoCar"/>
    <w:uiPriority w:val="99"/>
    <w:unhideWhenUsed/>
    <w:rsid w:val="0047272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2729"/>
  </w:style>
  <w:style w:type="paragraph" w:styleId="Piedepgina">
    <w:name w:val="footer"/>
    <w:basedOn w:val="Normal"/>
    <w:link w:val="PiedepginaCar"/>
    <w:uiPriority w:val="99"/>
    <w:unhideWhenUsed/>
    <w:rsid w:val="0047272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2729"/>
  </w:style>
  <w:style w:type="paragraph" w:styleId="Textodeglobo">
    <w:name w:val="Balloon Text"/>
    <w:basedOn w:val="Normal"/>
    <w:link w:val="TextodegloboCar"/>
    <w:uiPriority w:val="99"/>
    <w:semiHidden/>
    <w:unhideWhenUsed/>
    <w:rsid w:val="0047272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27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416DD"/>
    <w:pPr>
      <w:ind w:left="720"/>
      <w:contextualSpacing/>
    </w:pPr>
  </w:style>
  <w:style w:type="paragraph" w:styleId="Encabezado">
    <w:name w:val="header"/>
    <w:basedOn w:val="Normal"/>
    <w:link w:val="EncabezadoCar"/>
    <w:uiPriority w:val="99"/>
    <w:unhideWhenUsed/>
    <w:rsid w:val="0047272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2729"/>
  </w:style>
  <w:style w:type="paragraph" w:styleId="Piedepgina">
    <w:name w:val="footer"/>
    <w:basedOn w:val="Normal"/>
    <w:link w:val="PiedepginaCar"/>
    <w:uiPriority w:val="99"/>
    <w:unhideWhenUsed/>
    <w:rsid w:val="0047272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2729"/>
  </w:style>
  <w:style w:type="paragraph" w:styleId="Textodeglobo">
    <w:name w:val="Balloon Text"/>
    <w:basedOn w:val="Normal"/>
    <w:link w:val="TextodegloboCar"/>
    <w:uiPriority w:val="99"/>
    <w:semiHidden/>
    <w:unhideWhenUsed/>
    <w:rsid w:val="0047272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272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6</Pages>
  <Words>1643</Words>
  <Characters>9039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zoey</dc:creator>
  <cp:lastModifiedBy>zoey</cp:lastModifiedBy>
  <cp:revision>12</cp:revision>
  <dcterms:created xsi:type="dcterms:W3CDTF">2013-05-31T15:59:00Z</dcterms:created>
  <dcterms:modified xsi:type="dcterms:W3CDTF">2013-08-10T02:22:00Z</dcterms:modified>
</cp:coreProperties>
</file>