
<file path=[Content_Types].xml><?xml version="1.0" encoding="utf-8"?>
<Types xmlns="http://schemas.openxmlformats.org/package/2006/content-types">
  <Default Extension="xml" ContentType="application/xml"/>
  <Default Extension="jpeg" ContentType="image/jpeg"/>
  <Default Extension="bin" ContentType="application/vnd.openxmlformats-officedocument.wordprocessingml.printerSettings"/>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429E6E" w14:textId="77777777" w:rsidR="00CD6098" w:rsidRDefault="00CD6098" w:rsidP="00037ACE">
      <w:pPr>
        <w:jc w:val="center"/>
        <w:rPr>
          <w:rFonts w:ascii="Times-Roman" w:hAnsi="Times-Roman" w:cs="Times-Roman"/>
          <w:b/>
          <w:bCs/>
          <w:sz w:val="21"/>
          <w:szCs w:val="21"/>
          <w:lang w:eastAsia="en-US"/>
        </w:rPr>
      </w:pPr>
      <w:r>
        <w:rPr>
          <w:rFonts w:ascii="Times-Roman" w:hAnsi="Times-Roman" w:cs="Times-Roman"/>
          <w:b/>
          <w:bCs/>
          <w:sz w:val="21"/>
          <w:szCs w:val="21"/>
          <w:lang w:eastAsia="en-US"/>
        </w:rPr>
        <w:t>l.- COSAS MERCANTILES</w:t>
      </w:r>
    </w:p>
    <w:p w14:paraId="52C4D49A" w14:textId="77777777" w:rsidR="00CD6098" w:rsidRDefault="00CD6098" w:rsidP="00037ACE">
      <w:pPr>
        <w:jc w:val="both"/>
        <w:rPr>
          <w:rFonts w:ascii="Times-Roman" w:hAnsi="Times-Roman" w:cs="Times-Roman"/>
          <w:b/>
          <w:bCs/>
          <w:sz w:val="21"/>
          <w:szCs w:val="21"/>
          <w:lang w:eastAsia="en-US"/>
        </w:rPr>
      </w:pPr>
    </w:p>
    <w:p w14:paraId="641CEE7C" w14:textId="77777777" w:rsidR="00CD6098" w:rsidRDefault="00CD6098" w:rsidP="00037ACE">
      <w:pPr>
        <w:jc w:val="both"/>
        <w:rPr>
          <w:rFonts w:ascii="Times-Roman" w:hAnsi="Times-Roman" w:cs="Times-Roman"/>
          <w:b/>
          <w:bCs/>
          <w:sz w:val="20"/>
          <w:szCs w:val="20"/>
          <w:lang w:eastAsia="en-US"/>
        </w:rPr>
      </w:pPr>
      <w:r>
        <w:rPr>
          <w:rFonts w:ascii="Helvetica" w:hAnsi="Helvetica" w:cs="Helvetica"/>
          <w:b/>
          <w:bCs/>
          <w:i/>
          <w:iCs/>
          <w:sz w:val="20"/>
          <w:szCs w:val="20"/>
          <w:lang w:eastAsia="en-US"/>
        </w:rPr>
        <w:t xml:space="preserve">1°) </w:t>
      </w:r>
      <w:r>
        <w:rPr>
          <w:rFonts w:ascii="Times-Roman" w:hAnsi="Times-Roman" w:cs="Times-Roman"/>
          <w:b/>
          <w:bCs/>
          <w:sz w:val="20"/>
          <w:szCs w:val="20"/>
          <w:lang w:eastAsia="en-US"/>
        </w:rPr>
        <w:t>Cosas en general.</w:t>
      </w:r>
    </w:p>
    <w:p w14:paraId="44F60362" w14:textId="77777777" w:rsidR="00CD6098" w:rsidRDefault="00CD6098" w:rsidP="00037ACE">
      <w:pPr>
        <w:jc w:val="both"/>
        <w:rPr>
          <w:rFonts w:ascii="Times-Roman" w:hAnsi="Times-Roman" w:cs="Times-Roman"/>
          <w:b/>
          <w:bCs/>
          <w:sz w:val="20"/>
          <w:szCs w:val="20"/>
          <w:lang w:eastAsia="en-US"/>
        </w:rPr>
      </w:pPr>
    </w:p>
    <w:p w14:paraId="2CEC9581"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 xml:space="preserve"> En la primera parte de este trabajo, ya se ha indicado el concepto de cosa mercantil y su clasificación. Desde luego, no vamos a repetir acá lo que antes se ha dicho, pero es casi indispensable, a modo de introducción general a esta sección, recordar algunos conceptos, sobre todo en cuanto a su clasificación se refiere.</w:t>
      </w:r>
    </w:p>
    <w:p w14:paraId="0B30339C" w14:textId="77777777" w:rsidR="00CD6098" w:rsidRDefault="00CD6098" w:rsidP="00037ACE">
      <w:pPr>
        <w:jc w:val="both"/>
        <w:rPr>
          <w:rFonts w:ascii="Times-Roman" w:hAnsi="Times-Roman" w:cs="Times-Roman"/>
          <w:sz w:val="18"/>
          <w:szCs w:val="18"/>
          <w:lang w:eastAsia="en-US"/>
        </w:rPr>
      </w:pPr>
    </w:p>
    <w:p w14:paraId="42B5CBC3" w14:textId="77777777" w:rsidR="00557E0C"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 xml:space="preserve"> Las cosas mercantiles son aquéllas que constituyen el objeto de las operaciones mercantiles. Podemos clasif</w:t>
      </w:r>
      <w:r w:rsidR="00557E0C">
        <w:rPr>
          <w:rFonts w:ascii="Times-Roman" w:hAnsi="Times-Roman" w:cs="Times-Roman"/>
          <w:sz w:val="18"/>
          <w:szCs w:val="18"/>
          <w:lang w:eastAsia="en-US"/>
        </w:rPr>
        <w:t>icarlas de la siguiente forma:</w:t>
      </w:r>
    </w:p>
    <w:p w14:paraId="43E4FB53" w14:textId="77777777" w:rsidR="00557E0C" w:rsidRDefault="00557E0C" w:rsidP="00037ACE">
      <w:pPr>
        <w:jc w:val="both"/>
        <w:rPr>
          <w:rFonts w:ascii="Times-Roman" w:hAnsi="Times-Roman" w:cs="Times-Roman"/>
          <w:sz w:val="18"/>
          <w:szCs w:val="18"/>
          <w:lang w:eastAsia="en-US"/>
        </w:rPr>
      </w:pPr>
    </w:p>
    <w:p w14:paraId="53388E8F" w14:textId="5356CC35"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1) Las cosas accidentalmente mercantiles, que son las que tienen este carácter mientras están siendo objeto de obligaciones o de negocios mercantiles; pero que pierden la mencionada calidad, cuando dejan de serlo. En términos generales, todas las mercancías podrán colocarse en esta categoría; son cosas mercantiles mientras están formando parte de las existencias de una empresa o son objeto de operaciones que caen bajo la regulación mercantil; pero dejan de ser cosas mercantiles cuando alguien las adquiere con fines de uso personal. Sin entrar en detalle, es conveniente recordar aquí la situación especial de los inmuebles y el criterio opuesto, que al respecto, tienen las teorías clásicas y la teoría moderna; este punto ha sido ampliamente desarrollado en la primera parte de este trabajo.</w:t>
      </w:r>
    </w:p>
    <w:p w14:paraId="3BC1E834" w14:textId="77777777" w:rsidR="00CD6098" w:rsidRDefault="00CD6098" w:rsidP="00037ACE">
      <w:pPr>
        <w:jc w:val="both"/>
        <w:rPr>
          <w:rFonts w:ascii="Times-Roman" w:hAnsi="Times-Roman" w:cs="Times-Roman"/>
          <w:sz w:val="18"/>
          <w:szCs w:val="18"/>
          <w:lang w:eastAsia="en-US"/>
        </w:rPr>
      </w:pPr>
    </w:p>
    <w:p w14:paraId="18F5EE15"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2) La empresa, considerada como universalidad de contenido patrimonial propio, que es el instrumento para la realización de las actividades del comercio.</w:t>
      </w:r>
    </w:p>
    <w:p w14:paraId="2DBB5147" w14:textId="77777777" w:rsidR="00CD6098" w:rsidRDefault="00CD6098" w:rsidP="00037ACE">
      <w:pPr>
        <w:jc w:val="both"/>
        <w:rPr>
          <w:rFonts w:ascii="Times-Roman" w:hAnsi="Times-Roman" w:cs="Times-Roman"/>
          <w:sz w:val="18"/>
          <w:szCs w:val="18"/>
          <w:lang w:eastAsia="en-US"/>
        </w:rPr>
      </w:pPr>
    </w:p>
    <w:p w14:paraId="0629ECBC"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3) Ciertos elementos intangibles de la empresa, como son las patentes y los distintivos comerciales. Estos elementos tienen como característica esencial, conservar su calidad de cosas mercantiles independientemente de la empresa de que forman parte; pueden separarse de ella sin que por eso pierdan su propia calidad; en consecuencia, tienen una individualidad propia, de naturaleza eminentemente mercantil, que no se deriva del hecho de que formen parte de una empresa determinada.</w:t>
      </w:r>
    </w:p>
    <w:p w14:paraId="116B96E8" w14:textId="77777777" w:rsidR="00CD6098" w:rsidRDefault="00CD6098" w:rsidP="00037ACE">
      <w:pPr>
        <w:jc w:val="both"/>
        <w:rPr>
          <w:rFonts w:ascii="Times-Roman" w:hAnsi="Times-Roman" w:cs="Times-Roman"/>
          <w:sz w:val="18"/>
          <w:szCs w:val="18"/>
          <w:lang w:eastAsia="en-US"/>
        </w:rPr>
      </w:pPr>
    </w:p>
    <w:p w14:paraId="6788F501"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4) Los títulosvalores, que son documentos mercantiles de una categoría especial, tal como se explicará más adelante.</w:t>
      </w:r>
    </w:p>
    <w:p w14:paraId="0C2C2672" w14:textId="77777777" w:rsidR="00CD6098" w:rsidRDefault="00CD6098" w:rsidP="00037ACE">
      <w:pPr>
        <w:jc w:val="both"/>
        <w:rPr>
          <w:rFonts w:ascii="Times-Roman" w:hAnsi="Times-Roman" w:cs="Times-Roman"/>
          <w:sz w:val="18"/>
          <w:szCs w:val="18"/>
          <w:lang w:eastAsia="en-US"/>
        </w:rPr>
      </w:pPr>
    </w:p>
    <w:p w14:paraId="14CB994A"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 xml:space="preserve">Las tres últimas categorías mencionadas, tienen una naturaleza común; todas ellas podemos agruparlas dentro de las que se han llamado cosas típicamente mercantiles, porque son cosas que nacieron para servir al comercio y en esa circunstancia encuentran la justificación de su existencia. </w:t>
      </w:r>
      <w:r w:rsidR="000014DB">
        <w:rPr>
          <w:rFonts w:ascii="Times-Roman" w:hAnsi="Times-Roman" w:cs="Times-Roman"/>
          <w:sz w:val="18"/>
          <w:szCs w:val="18"/>
          <w:lang w:eastAsia="en-US"/>
        </w:rPr>
        <w:t>Algunas de ellas, los títulosvalores específicamente, pueden usarse para operaciones de tipo civil; de hecho, son usadas y frecuentemente para ese tipo de operaciones; pero, no obstante este uso, que ha sido una consecuencia de las ventajas que tales documentos proporcionan de por sí, no pierden su carácter de cosas mercantiles, porque éste se deriva de su propia naturaleza; los actos que con ellos se realizan, no obstante de que pueden ser realizados por personas no comerciantes y para operaciones civiles, se vuelven mercantiles por el simple hecho del empleo de tales instrumentos; son los actos que, en la primera parte de este trabajo, se han designado con el nombre de actos de mercantilidad pura.</w:t>
      </w:r>
    </w:p>
    <w:p w14:paraId="61C4765C" w14:textId="77777777" w:rsidR="00CD6098" w:rsidRDefault="00CD6098" w:rsidP="00037ACE">
      <w:pPr>
        <w:jc w:val="both"/>
        <w:rPr>
          <w:rFonts w:ascii="Times-Roman" w:hAnsi="Times-Roman" w:cs="Times-Roman"/>
          <w:sz w:val="18"/>
          <w:szCs w:val="18"/>
          <w:lang w:eastAsia="en-US"/>
        </w:rPr>
      </w:pPr>
    </w:p>
    <w:p w14:paraId="48FD9664"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Al desarrollar la teoría de las cosas mercantiles, lógicamente sólo las cosas típicamente mercantiles requieren una exposición detallada; las cosas accidentalmente mercantiles se rigen, en cuanto a tales, por las disposiciones propias de los actos con que ellas se realizan.</w:t>
      </w:r>
    </w:p>
    <w:p w14:paraId="437F548B" w14:textId="77777777" w:rsidR="00CD6098" w:rsidRDefault="00CD6098" w:rsidP="00037ACE">
      <w:pPr>
        <w:jc w:val="both"/>
        <w:rPr>
          <w:rFonts w:ascii="Times-Roman" w:hAnsi="Times-Roman" w:cs="Times-Roman"/>
          <w:sz w:val="18"/>
          <w:szCs w:val="18"/>
          <w:lang w:eastAsia="en-US"/>
        </w:rPr>
      </w:pPr>
    </w:p>
    <w:p w14:paraId="06DB26A6"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A continuación haremos un estudio más detenido de las distintas cosas típicamente mercantiles, que desde luego requieren una regulación detallada dentro del campo propio del Derecho Mercantil.</w:t>
      </w:r>
    </w:p>
    <w:p w14:paraId="20667317" w14:textId="77777777" w:rsidR="00CD6098" w:rsidRDefault="00CD6098" w:rsidP="00037ACE">
      <w:pPr>
        <w:jc w:val="both"/>
        <w:rPr>
          <w:rFonts w:ascii="Times-Roman" w:hAnsi="Times-Roman" w:cs="Times-Roman"/>
          <w:sz w:val="18"/>
          <w:szCs w:val="18"/>
          <w:lang w:eastAsia="en-US"/>
        </w:rPr>
      </w:pPr>
    </w:p>
    <w:p w14:paraId="155A0975" w14:textId="77777777" w:rsidR="00CD6098" w:rsidRDefault="001321A8" w:rsidP="00037ACE">
      <w:pPr>
        <w:jc w:val="both"/>
        <w:rPr>
          <w:rFonts w:ascii="Times-Roman" w:hAnsi="Times-Roman" w:cs="Times-Roman"/>
          <w:b/>
          <w:bCs/>
          <w:sz w:val="19"/>
          <w:szCs w:val="19"/>
          <w:lang w:eastAsia="en-US"/>
        </w:rPr>
      </w:pPr>
      <w:r>
        <w:rPr>
          <w:rFonts w:ascii="Helvetica" w:hAnsi="Helvetica" w:cs="Helvetica"/>
          <w:b/>
          <w:bCs/>
          <w:sz w:val="20"/>
          <w:szCs w:val="20"/>
          <w:lang w:eastAsia="en-US"/>
        </w:rPr>
        <w:t xml:space="preserve">2°) </w:t>
      </w:r>
      <w:r>
        <w:rPr>
          <w:rFonts w:ascii="Times-Roman" w:hAnsi="Times-Roman" w:cs="Times-Roman"/>
          <w:b/>
          <w:bCs/>
          <w:sz w:val="19"/>
          <w:szCs w:val="19"/>
          <w:lang w:eastAsia="en-US"/>
        </w:rPr>
        <w:t>La E</w:t>
      </w:r>
      <w:r w:rsidR="00CD6098">
        <w:rPr>
          <w:rFonts w:ascii="Times-Roman" w:hAnsi="Times-Roman" w:cs="Times-Roman"/>
          <w:b/>
          <w:bCs/>
          <w:sz w:val="19"/>
          <w:szCs w:val="19"/>
          <w:lang w:eastAsia="en-US"/>
        </w:rPr>
        <w:t>mpresa.</w:t>
      </w:r>
    </w:p>
    <w:p w14:paraId="3A2987A6" w14:textId="77777777" w:rsidR="00CD6098" w:rsidRDefault="00CD6098" w:rsidP="00037ACE">
      <w:pPr>
        <w:jc w:val="both"/>
        <w:rPr>
          <w:rFonts w:ascii="Times-Roman" w:hAnsi="Times-Roman" w:cs="Times-Roman"/>
          <w:b/>
          <w:bCs/>
          <w:sz w:val="19"/>
          <w:szCs w:val="19"/>
          <w:lang w:eastAsia="en-US"/>
        </w:rPr>
      </w:pPr>
    </w:p>
    <w:p w14:paraId="6645C358"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La empresa es la primera de las cosas típicamente mercantiles que se han mencionado en el apartado anterior. Se ha definido la empresa como el conjunto de trabajo, bienes materiales y bienes incorpóreos o intangibles, destinada a proporcionar al público, con ánimo de lucro y de manera sistemática, bienes o servicios.</w:t>
      </w:r>
    </w:p>
    <w:p w14:paraId="1D63F138" w14:textId="77777777" w:rsidR="00CD6098" w:rsidRDefault="00CD6098" w:rsidP="00037ACE">
      <w:pPr>
        <w:jc w:val="both"/>
        <w:rPr>
          <w:rFonts w:ascii="Times-Roman" w:hAnsi="Times-Roman" w:cs="Times-Roman"/>
          <w:sz w:val="18"/>
          <w:szCs w:val="18"/>
          <w:lang w:eastAsia="en-US"/>
        </w:rPr>
      </w:pPr>
    </w:p>
    <w:p w14:paraId="1E29BA8D"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En consecuencia, la empresa como conjunto de cosas que es, es un patrimonio. Pero un patrimonio que reúne determinadas características, la principal de las cuales es la de constituir un todo único destinado a una finalidad determinada, la de proporcionar al público bienes o servicios, de manera sistemática y con finalidad lucrativa.</w:t>
      </w:r>
    </w:p>
    <w:p w14:paraId="41E67875" w14:textId="77777777" w:rsidR="00CD6098" w:rsidRDefault="00CD6098" w:rsidP="00037ACE">
      <w:pPr>
        <w:jc w:val="both"/>
        <w:rPr>
          <w:rFonts w:ascii="Times-Roman" w:hAnsi="Times-Roman" w:cs="Times-Roman"/>
          <w:sz w:val="18"/>
          <w:szCs w:val="18"/>
          <w:lang w:eastAsia="en-US"/>
        </w:rPr>
      </w:pPr>
    </w:p>
    <w:p w14:paraId="41A7F40D" w14:textId="77777777" w:rsidR="001321A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 xml:space="preserve">De acuerdo con el tenor de lo antes expresado, podemos señalar como características de la empresa las siguientes: </w:t>
      </w:r>
    </w:p>
    <w:p w14:paraId="634A5E81" w14:textId="77777777" w:rsidR="001321A8" w:rsidRDefault="001321A8" w:rsidP="00037ACE">
      <w:pPr>
        <w:jc w:val="both"/>
        <w:rPr>
          <w:rFonts w:ascii="Times-Roman" w:hAnsi="Times-Roman" w:cs="Times-Roman"/>
          <w:sz w:val="18"/>
          <w:szCs w:val="18"/>
          <w:lang w:eastAsia="en-US"/>
        </w:rPr>
      </w:pPr>
    </w:p>
    <w:p w14:paraId="37185527"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1) Es un conjunto de cosas, o sea, es un patrimonio o una universalidad.</w:t>
      </w:r>
    </w:p>
    <w:p w14:paraId="3B878E49" w14:textId="77777777" w:rsidR="00CD6098" w:rsidRDefault="00CD6098" w:rsidP="00037ACE">
      <w:pPr>
        <w:jc w:val="both"/>
        <w:rPr>
          <w:rFonts w:ascii="Times-Roman" w:hAnsi="Times-Roman" w:cs="Times-Roman"/>
          <w:sz w:val="18"/>
          <w:szCs w:val="18"/>
          <w:lang w:eastAsia="en-US"/>
        </w:rPr>
      </w:pPr>
    </w:p>
    <w:p w14:paraId="5A6A6D8B"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2) No obstante lo anterior, constituye una sola unidad; todas las cosas que la componen, que son sus elementos, tienen una unidad de destino, que es la de servir a la finalidad de la empresa. En este sentido, la empresa participa de la naturaleza de las cosas universales, como la sucesión por ejemplo; la variación de sus elementos, algunos de los cuales están supuestos a enajenarse en el giro de su actividad, no la hacen perder su individualidad como empresa; la empresa sigue siendo la misma, no obstante la variación de sus elementos y no obstante carecer de un asiento fijo.</w:t>
      </w:r>
    </w:p>
    <w:p w14:paraId="3FF96455" w14:textId="77777777" w:rsidR="00CD6098" w:rsidRDefault="00CD6098" w:rsidP="00037ACE">
      <w:pPr>
        <w:jc w:val="both"/>
        <w:rPr>
          <w:rFonts w:ascii="Times-Roman" w:hAnsi="Times-Roman" w:cs="Times-Roman"/>
          <w:sz w:val="18"/>
          <w:szCs w:val="18"/>
          <w:lang w:eastAsia="en-US"/>
        </w:rPr>
      </w:pPr>
    </w:p>
    <w:p w14:paraId="5D8AEDDD" w14:textId="77777777" w:rsidR="00CD6098" w:rsidRDefault="00CD6098" w:rsidP="00037ACE">
      <w:pPr>
        <w:jc w:val="both"/>
        <w:rPr>
          <w:rFonts w:ascii="Times-Roman" w:hAnsi="Times-Roman" w:cs="Times-Roman"/>
          <w:sz w:val="19"/>
          <w:szCs w:val="19"/>
          <w:lang w:eastAsia="en-US"/>
        </w:rPr>
      </w:pPr>
      <w:r>
        <w:rPr>
          <w:rFonts w:ascii="Times-Roman" w:hAnsi="Times-Roman" w:cs="Times-Roman"/>
          <w:sz w:val="18"/>
          <w:szCs w:val="18"/>
          <w:lang w:eastAsia="en-US"/>
        </w:rPr>
        <w:t>3) Es permanente, lo que desde luego no quiere decir que sea eterna. Tiene tendencia a permanecer, desde el momento que su finalidad es la prestación de</w:t>
      </w:r>
      <w:r>
        <w:rPr>
          <w:rFonts w:ascii="Helvetica" w:hAnsi="Helvetica" w:cs="Helvetica"/>
          <w:sz w:val="19"/>
          <w:szCs w:val="19"/>
          <w:lang w:eastAsia="en-US"/>
        </w:rPr>
        <w:t xml:space="preserve"> </w:t>
      </w:r>
      <w:r>
        <w:rPr>
          <w:rFonts w:ascii="Times-Roman" w:hAnsi="Times-Roman" w:cs="Times-Roman"/>
          <w:sz w:val="19"/>
          <w:szCs w:val="19"/>
          <w:lang w:eastAsia="en-US"/>
        </w:rPr>
        <w:t xml:space="preserve">bienes o servicios, de manera sistemática; desde luego, puede ser disuelta; pero no es transitoria, o sea destinada a una sola </w:t>
      </w:r>
      <w:r w:rsidR="000014DB">
        <w:rPr>
          <w:rFonts w:ascii="Times-Roman" w:hAnsi="Times-Roman" w:cs="Times-Roman"/>
          <w:sz w:val="19"/>
          <w:szCs w:val="19"/>
          <w:lang w:eastAsia="en-US"/>
        </w:rPr>
        <w:t>negociación o</w:t>
      </w:r>
      <w:r>
        <w:rPr>
          <w:rFonts w:ascii="Times-Roman" w:hAnsi="Times-Roman" w:cs="Times-Roman"/>
          <w:sz w:val="19"/>
          <w:szCs w:val="19"/>
          <w:lang w:eastAsia="en-US"/>
        </w:rPr>
        <w:t xml:space="preserve"> a un corto número de ellas.</w:t>
      </w:r>
    </w:p>
    <w:p w14:paraId="35D42116" w14:textId="77777777" w:rsidR="00CD6098" w:rsidRDefault="00CD6098" w:rsidP="00037ACE">
      <w:pPr>
        <w:jc w:val="both"/>
        <w:rPr>
          <w:rFonts w:ascii="Times-Roman" w:hAnsi="Times-Roman" w:cs="Times-Roman"/>
          <w:sz w:val="19"/>
          <w:szCs w:val="19"/>
          <w:lang w:eastAsia="en-US"/>
        </w:rPr>
      </w:pPr>
    </w:p>
    <w:p w14:paraId="26060EC1" w14:textId="77777777" w:rsidR="00CD6098" w:rsidRDefault="00CD6098" w:rsidP="00037ACE">
      <w:pPr>
        <w:jc w:val="both"/>
        <w:rPr>
          <w:rFonts w:ascii="Times-Roman" w:hAnsi="Times-Roman" w:cs="Times-Roman"/>
          <w:sz w:val="19"/>
          <w:szCs w:val="19"/>
          <w:lang w:eastAsia="en-US"/>
        </w:rPr>
      </w:pPr>
      <w:r>
        <w:rPr>
          <w:rFonts w:ascii="Times-Roman" w:hAnsi="Times-Roman" w:cs="Times-Roman"/>
          <w:sz w:val="19"/>
          <w:szCs w:val="19"/>
          <w:lang w:eastAsia="en-US"/>
        </w:rPr>
        <w:t xml:space="preserve">4) </w:t>
      </w:r>
      <w:r>
        <w:rPr>
          <w:rFonts w:ascii="Times-Roman" w:hAnsi="Times-Roman" w:cs="Times-Roman"/>
          <w:sz w:val="17"/>
          <w:szCs w:val="17"/>
          <w:lang w:eastAsia="en-US"/>
        </w:rPr>
        <w:t xml:space="preserve">La </w:t>
      </w:r>
      <w:r>
        <w:rPr>
          <w:rFonts w:ascii="Times-Roman" w:hAnsi="Times-Roman" w:cs="Times-Roman"/>
          <w:sz w:val="19"/>
          <w:szCs w:val="19"/>
          <w:lang w:eastAsia="en-US"/>
        </w:rPr>
        <w:t>finalidad de la empresa constituye a la vez su destino y el de sus elementos; tanto la empresa, como universalidad, así como sus elementos singulares considerados, se utilizan por el titular de la misma para el cumplimiento de una sola finalidad, o sea, para realizar el tipo de negocios que constituyen su giro mercantil.</w:t>
      </w:r>
    </w:p>
    <w:p w14:paraId="5170B9B6" w14:textId="77777777" w:rsidR="00CD6098" w:rsidRDefault="00CD6098" w:rsidP="00037ACE">
      <w:pPr>
        <w:jc w:val="both"/>
        <w:rPr>
          <w:rFonts w:ascii="Times-Roman" w:hAnsi="Times-Roman" w:cs="Times-Roman"/>
          <w:sz w:val="19"/>
          <w:szCs w:val="19"/>
          <w:lang w:eastAsia="en-US"/>
        </w:rPr>
      </w:pPr>
    </w:p>
    <w:p w14:paraId="6C914C69" w14:textId="77777777" w:rsidR="00CD6098" w:rsidRDefault="00CD6098" w:rsidP="00037ACE">
      <w:pPr>
        <w:jc w:val="both"/>
        <w:rPr>
          <w:rFonts w:ascii="Times-Roman" w:hAnsi="Times-Roman" w:cs="Times-Roman"/>
          <w:sz w:val="19"/>
          <w:szCs w:val="19"/>
          <w:lang w:eastAsia="en-US"/>
        </w:rPr>
      </w:pPr>
      <w:r>
        <w:rPr>
          <w:rFonts w:ascii="Times-Roman" w:hAnsi="Times-Roman" w:cs="Times-Roman"/>
          <w:sz w:val="19"/>
          <w:szCs w:val="19"/>
          <w:lang w:eastAsia="en-US"/>
        </w:rPr>
        <w:t xml:space="preserve">5) La unidad de destino requiere unidad de </w:t>
      </w:r>
      <w:r w:rsidR="000014DB">
        <w:rPr>
          <w:rFonts w:ascii="Times-Roman" w:hAnsi="Times-Roman" w:cs="Times-Roman"/>
          <w:sz w:val="19"/>
          <w:szCs w:val="19"/>
          <w:lang w:eastAsia="en-US"/>
        </w:rPr>
        <w:t>organización</w:t>
      </w:r>
      <w:r>
        <w:rPr>
          <w:rFonts w:ascii="Times-Roman" w:hAnsi="Times-Roman" w:cs="Times-Roman"/>
          <w:sz w:val="19"/>
          <w:szCs w:val="19"/>
          <w:lang w:eastAsia="en-US"/>
        </w:rPr>
        <w:t>; la empresa es a la vez una unidad patrimonial y una unidad contable; requiere, por lo tanto, una sola dirección y una contabilidad unificada. Lo anterior desde luego, no se opone que puedan llevarse contabilidades separadas para determinados departamentos de la empresa, o que éstos puedan contar con la dirección de funcionarios especializados a ellos; pero estas contabilidades y estas direcciones no son independientes; los resultados de las contabilidades separadas deberán reflejarse o resumirse en la contabilidad general de la empresa; de la misma manera, las personas que ejercen direcciones especiales en algunos departamentos, dependen necesariamente de la dirección general de la empresa.</w:t>
      </w:r>
    </w:p>
    <w:p w14:paraId="1D2D5B6C" w14:textId="77777777" w:rsidR="00CD6098" w:rsidRDefault="00CD6098" w:rsidP="00037ACE">
      <w:pPr>
        <w:jc w:val="both"/>
        <w:rPr>
          <w:rFonts w:ascii="Times-Roman" w:hAnsi="Times-Roman" w:cs="Times-Roman"/>
          <w:sz w:val="19"/>
          <w:szCs w:val="19"/>
          <w:lang w:eastAsia="en-US"/>
        </w:rPr>
      </w:pPr>
    </w:p>
    <w:p w14:paraId="7018FAB3" w14:textId="77777777" w:rsidR="00CD6098" w:rsidRDefault="00CD6098" w:rsidP="00037ACE">
      <w:pPr>
        <w:jc w:val="both"/>
        <w:rPr>
          <w:rFonts w:ascii="Times-Roman" w:hAnsi="Times-Roman" w:cs="Times-Roman"/>
          <w:sz w:val="19"/>
          <w:szCs w:val="19"/>
          <w:lang w:eastAsia="en-US"/>
        </w:rPr>
      </w:pPr>
      <w:r>
        <w:rPr>
          <w:rFonts w:ascii="Times-Roman" w:hAnsi="Times-Roman" w:cs="Times-Roman"/>
          <w:sz w:val="19"/>
          <w:szCs w:val="19"/>
          <w:lang w:eastAsia="en-US"/>
        </w:rPr>
        <w:t xml:space="preserve">6) </w:t>
      </w:r>
      <w:r>
        <w:rPr>
          <w:rFonts w:ascii="Times-Roman" w:hAnsi="Times-Roman" w:cs="Times-Roman"/>
          <w:sz w:val="17"/>
          <w:szCs w:val="17"/>
          <w:lang w:eastAsia="en-US"/>
        </w:rPr>
        <w:t xml:space="preserve">La </w:t>
      </w:r>
      <w:r>
        <w:rPr>
          <w:rFonts w:ascii="Times-Roman" w:hAnsi="Times-Roman" w:cs="Times-Roman"/>
          <w:sz w:val="19"/>
          <w:szCs w:val="19"/>
          <w:lang w:eastAsia="en-US"/>
        </w:rPr>
        <w:t>importancia o tamaño de la empresa no ejerce influencia alguna sobre su naturaleza mercantil; hay grandes empresas y pequeñas empresas. Un banco o un gran almacén son empresas, pero también lo son una pequeña tienda o el carro de mercancías de un vendedor ambulante. Lo importante es que reúna las características enumeradas en los ordinales anteriores, en la medida que son necesarias para el cumplimiento de su finalidad; lo demás no afecta su naturaleza.</w:t>
      </w:r>
    </w:p>
    <w:p w14:paraId="09569546" w14:textId="77777777" w:rsidR="00CD6098" w:rsidRDefault="00CD6098" w:rsidP="00037ACE">
      <w:pPr>
        <w:jc w:val="both"/>
        <w:rPr>
          <w:rFonts w:ascii="Times-Roman" w:hAnsi="Times-Roman" w:cs="Times-Roman"/>
          <w:sz w:val="19"/>
          <w:szCs w:val="19"/>
          <w:lang w:eastAsia="en-US"/>
        </w:rPr>
      </w:pPr>
    </w:p>
    <w:p w14:paraId="59A955CD" w14:textId="77777777" w:rsidR="00CD6098" w:rsidRDefault="00CD6098" w:rsidP="00037ACE">
      <w:pPr>
        <w:jc w:val="both"/>
        <w:rPr>
          <w:rFonts w:ascii="Times-Roman" w:hAnsi="Times-Roman" w:cs="Times-Roman"/>
          <w:sz w:val="19"/>
          <w:szCs w:val="19"/>
          <w:lang w:eastAsia="en-US"/>
        </w:rPr>
      </w:pPr>
      <w:r>
        <w:rPr>
          <w:rFonts w:ascii="Times-Roman" w:hAnsi="Times-Roman" w:cs="Times-Roman"/>
          <w:sz w:val="19"/>
          <w:szCs w:val="19"/>
          <w:lang w:eastAsia="en-US"/>
        </w:rPr>
        <w:t>El primer problema que enfrentamos en esta materia es el de señalar con toda precisión la naturaleza jurídica de la empresa.</w:t>
      </w:r>
    </w:p>
    <w:p w14:paraId="504D7C3A" w14:textId="77777777" w:rsidR="00CD6098" w:rsidRDefault="00CD6098" w:rsidP="00037ACE">
      <w:pPr>
        <w:jc w:val="both"/>
        <w:rPr>
          <w:rFonts w:ascii="Times-Roman" w:hAnsi="Times-Roman" w:cs="Times-Roman"/>
          <w:sz w:val="19"/>
          <w:szCs w:val="19"/>
          <w:lang w:eastAsia="en-US"/>
        </w:rPr>
      </w:pPr>
    </w:p>
    <w:p w14:paraId="47A3A658" w14:textId="77777777" w:rsidR="00CD6098" w:rsidRDefault="00CD6098" w:rsidP="00037ACE">
      <w:pPr>
        <w:jc w:val="both"/>
        <w:rPr>
          <w:rFonts w:ascii="Times-Roman" w:hAnsi="Times-Roman" w:cs="Times-Roman"/>
          <w:sz w:val="19"/>
          <w:szCs w:val="19"/>
          <w:lang w:eastAsia="en-US"/>
        </w:rPr>
      </w:pPr>
      <w:r>
        <w:rPr>
          <w:rFonts w:ascii="Times-Roman" w:hAnsi="Times-Roman" w:cs="Times-Roman"/>
          <w:sz w:val="19"/>
          <w:szCs w:val="19"/>
          <w:lang w:eastAsia="en-US"/>
        </w:rPr>
        <w:t xml:space="preserve">Al respecto, hay varias teorías que han tratado de explicarlas, de las cuales solamente una encaja con la teoría moderna del Derecho Mercantil. En la etapa de las teorías clásicas, no es dable una concreción completa del concepto de empresa, por lo menos tal como lo entendemos ahora; es cierto que en muchos autores de ese tiempo y en muchas legislaciones inspiradas por esta teoría, se menciona a la empresa; pero más bien como sinónimo de establecimiento, o sea del lugar donde se desarrollan las actividades mercantiles; desde luego, no se tuvo el concepto de unidad que modernamente constituye su esencia. En la legislación vigente encontramos varias veces la palabra empresa, especialmente al enumerar los actos de comercio; pero en ninguna parte se señalan sus características; y la aplicación de las normas que contiene, no suponen el concepto unitario que le hemos dado. Analizaremos las tres teorías más importantes que pueden explicar la naturaleza jurídica de la empresa. Estas teorías son: </w:t>
      </w:r>
    </w:p>
    <w:p w14:paraId="6C315FAC" w14:textId="77777777" w:rsidR="00CD6098" w:rsidRDefault="00CD6098" w:rsidP="00037ACE">
      <w:pPr>
        <w:jc w:val="both"/>
        <w:rPr>
          <w:rFonts w:ascii="Times-Roman" w:hAnsi="Times-Roman" w:cs="Times-Roman"/>
          <w:b/>
          <w:bCs/>
          <w:sz w:val="19"/>
          <w:szCs w:val="19"/>
          <w:lang w:eastAsia="en-US"/>
        </w:rPr>
      </w:pPr>
    </w:p>
    <w:p w14:paraId="3D30444B" w14:textId="77777777" w:rsidR="00CD6098" w:rsidRDefault="00CD6098" w:rsidP="00037ACE">
      <w:pPr>
        <w:jc w:val="both"/>
        <w:rPr>
          <w:rFonts w:ascii="Times-Roman" w:hAnsi="Times-Roman" w:cs="Times-Roman"/>
          <w:sz w:val="18"/>
          <w:szCs w:val="18"/>
          <w:lang w:eastAsia="en-US"/>
        </w:rPr>
      </w:pPr>
      <w:r>
        <w:rPr>
          <w:rFonts w:ascii="Times-Roman" w:hAnsi="Times-Roman" w:cs="Times-Roman"/>
          <w:b/>
          <w:bCs/>
          <w:sz w:val="19"/>
          <w:szCs w:val="19"/>
          <w:lang w:eastAsia="en-US"/>
        </w:rPr>
        <w:t xml:space="preserve">l.- Teoría </w:t>
      </w:r>
      <w:r w:rsidR="000014DB">
        <w:rPr>
          <w:rFonts w:ascii="Times-Roman" w:hAnsi="Times-Roman" w:cs="Times-Roman"/>
          <w:b/>
          <w:bCs/>
          <w:sz w:val="19"/>
          <w:szCs w:val="19"/>
          <w:lang w:eastAsia="en-US"/>
        </w:rPr>
        <w:t>personalista</w:t>
      </w:r>
      <w:r>
        <w:rPr>
          <w:rFonts w:ascii="Times-Roman" w:hAnsi="Times-Roman" w:cs="Times-Roman"/>
          <w:b/>
          <w:bCs/>
          <w:sz w:val="19"/>
          <w:szCs w:val="19"/>
          <w:lang w:eastAsia="en-US"/>
        </w:rPr>
        <w:t xml:space="preserve"> de la empresa: </w:t>
      </w:r>
      <w:r>
        <w:rPr>
          <w:rFonts w:ascii="Times-Roman" w:hAnsi="Times-Roman" w:cs="Times-Roman"/>
          <w:sz w:val="19"/>
          <w:szCs w:val="19"/>
          <w:lang w:eastAsia="en-US"/>
        </w:rPr>
        <w:t xml:space="preserve">Algunos autores han defendido la conveniencia de conceder a la empresa una personalidad jurídica; en ese caso, no sería meramente una unidad patrimonial, sino que sus elementos constituirían un patrimonio perteneciente a una persona jurídica distinta de sus titulares. </w:t>
      </w:r>
      <w:r>
        <w:rPr>
          <w:rFonts w:ascii="Times-Roman" w:hAnsi="Times-Roman" w:cs="Times-Roman"/>
          <w:sz w:val="17"/>
          <w:szCs w:val="17"/>
          <w:lang w:eastAsia="en-US"/>
        </w:rPr>
        <w:t xml:space="preserve">La </w:t>
      </w:r>
      <w:r>
        <w:rPr>
          <w:rFonts w:ascii="Times-Roman" w:hAnsi="Times-Roman" w:cs="Times-Roman"/>
          <w:sz w:val="19"/>
          <w:szCs w:val="19"/>
          <w:lang w:eastAsia="en-US"/>
        </w:rPr>
        <w:t xml:space="preserve">teoría no ha prosperado, ninguna legislación la ha admitido y cada vez tiene menos </w:t>
      </w:r>
      <w:r>
        <w:rPr>
          <w:rFonts w:ascii="Times-Roman" w:hAnsi="Times-Roman" w:cs="Times-Roman"/>
          <w:sz w:val="18"/>
          <w:szCs w:val="18"/>
          <w:lang w:eastAsia="en-US"/>
        </w:rPr>
        <w:t>defensores. La realidad es que no es necesario crear una persona jurídica distinta, para llegar a la unidad patrimonial, desde luego que el concepto de cosas universales existe y ha existido desde mucho antes en Derecho; recuérdese que ya los romanos lo tenían.</w:t>
      </w:r>
    </w:p>
    <w:p w14:paraId="7FB8BFFE" w14:textId="77777777" w:rsidR="00CD6098" w:rsidRDefault="00CD6098" w:rsidP="00037ACE">
      <w:pPr>
        <w:jc w:val="both"/>
        <w:rPr>
          <w:rFonts w:ascii="Times-Roman" w:hAnsi="Times-Roman" w:cs="Times-Roman"/>
          <w:sz w:val="18"/>
          <w:szCs w:val="18"/>
          <w:lang w:eastAsia="en-US"/>
        </w:rPr>
      </w:pPr>
    </w:p>
    <w:p w14:paraId="6DAA6FCD" w14:textId="77777777" w:rsidR="00CD6098" w:rsidRDefault="00CD6098" w:rsidP="00037ACE">
      <w:pPr>
        <w:jc w:val="both"/>
        <w:rPr>
          <w:rFonts w:ascii="Times-Roman" w:hAnsi="Times-Roman" w:cs="Times-Roman"/>
          <w:sz w:val="18"/>
          <w:szCs w:val="18"/>
          <w:lang w:eastAsia="en-US"/>
        </w:rPr>
      </w:pPr>
      <w:r>
        <w:rPr>
          <w:rFonts w:ascii="Helvetica" w:hAnsi="Helvetica" w:cs="Helvetica"/>
          <w:sz w:val="21"/>
          <w:szCs w:val="21"/>
          <w:lang w:eastAsia="en-US"/>
        </w:rPr>
        <w:t>2.-</w:t>
      </w:r>
      <w:r>
        <w:rPr>
          <w:rFonts w:ascii="Times-Roman" w:hAnsi="Times-Roman" w:cs="Times-Roman"/>
          <w:b/>
          <w:bCs/>
          <w:sz w:val="19"/>
          <w:szCs w:val="19"/>
          <w:lang w:eastAsia="en-US"/>
        </w:rPr>
        <w:t xml:space="preserve">Teoría Atomista de la empresa: </w:t>
      </w:r>
      <w:r>
        <w:rPr>
          <w:rFonts w:ascii="Times-Roman" w:hAnsi="Times-Roman" w:cs="Times-Roman"/>
          <w:sz w:val="18"/>
          <w:szCs w:val="18"/>
          <w:lang w:eastAsia="en-US"/>
        </w:rPr>
        <w:t>Consiste en mantener la individualidad de los distintos elementos de la empresa, considerando a la misma como un conjunto, pero sin unidad patrimonial; en realidad, las consecuencias de esta teoría nos lleva a negar el concepto moderno de empresa, manteniendo únicamente el nombre, en forma similar a como aparece en algunas legislaciones inspiradas en la teoría clásica, por ejemplo, el Código vigente entre nosotros. Es natural que esta teoría tampoco haya resultado aceptable, desde luego que su aceptación implica la desaparición de un concepto de aquéllos sobre los que descansa el Derecho Mercantil moderno.</w:t>
      </w:r>
    </w:p>
    <w:p w14:paraId="3E90077B" w14:textId="77777777" w:rsidR="00CD6098" w:rsidRDefault="00CD6098" w:rsidP="00037ACE">
      <w:pPr>
        <w:jc w:val="both"/>
        <w:rPr>
          <w:rFonts w:ascii="Times-Roman" w:hAnsi="Times-Roman" w:cs="Times-Roman"/>
          <w:sz w:val="18"/>
          <w:szCs w:val="18"/>
          <w:lang w:eastAsia="en-US"/>
        </w:rPr>
      </w:pPr>
    </w:p>
    <w:p w14:paraId="367BC4D6" w14:textId="77777777" w:rsidR="00CD6098" w:rsidRDefault="00CD6098" w:rsidP="00037ACE">
      <w:pPr>
        <w:jc w:val="both"/>
        <w:rPr>
          <w:rFonts w:ascii="Times-Roman" w:hAnsi="Times-Roman" w:cs="Times-Roman"/>
          <w:sz w:val="18"/>
          <w:szCs w:val="18"/>
          <w:lang w:eastAsia="en-US"/>
        </w:rPr>
      </w:pPr>
      <w:r>
        <w:rPr>
          <w:rFonts w:ascii="Helvetica" w:hAnsi="Helvetica" w:cs="Helvetica"/>
          <w:sz w:val="21"/>
          <w:szCs w:val="21"/>
          <w:lang w:eastAsia="en-US"/>
        </w:rPr>
        <w:t xml:space="preserve">3.- </w:t>
      </w:r>
      <w:r>
        <w:rPr>
          <w:rFonts w:ascii="Times-Roman" w:hAnsi="Times-Roman" w:cs="Times-Roman"/>
          <w:b/>
          <w:bCs/>
          <w:sz w:val="19"/>
          <w:szCs w:val="19"/>
          <w:lang w:eastAsia="en-US"/>
        </w:rPr>
        <w:t xml:space="preserve">Teoría Patrimonial-unitaria de la empresa: </w:t>
      </w:r>
      <w:r>
        <w:rPr>
          <w:rFonts w:ascii="Times-Roman" w:hAnsi="Times-Roman" w:cs="Times-Roman"/>
          <w:sz w:val="18"/>
          <w:szCs w:val="18"/>
          <w:lang w:eastAsia="en-US"/>
        </w:rPr>
        <w:t>Los distintos elementos de la empresa son desde luego, cosas; en consecuencia, cada una es capaz de subsistir por sí, salvo excepciones; pero ello no es obstáculo para que puedan entrar a formar parte de una cosa universal, o sea de un patrimonio; la empresa es pues, una pluralidad de cosas que integran una cosa universal. La consecuencia de este punto de vista es que, normalmente, la empresa funciona como una sola unidad; el traspaso de la empresa implica el traspaso de todos sus elementos, aunque no se expresen, salvo excepciones; si se persigue al titular por el pago de alguna obligación, no pueden embargarse aisladamente los elementos de la empresa, sino que habrá que embargar la empresa en su conjunto; desde luego, se exceptúan aquellos casos en que se han constituido gravámenes reales sobre determinados elementos de la empresa. La razón de este tratamiento especial que se da a la empresa, se encuentra en la función que ella desempeña dentro de la economía de un país; el comercio tradicionalmente, ha sido considerado como un medio de lucro, para quienes lo ejercen; pero ha perdido modernamente, su carácter de ser exclusivamente en provecho de los comerciantes; la verdad es que el comerciante desempeña una función pública y, por eso mismo, las empresas destinadas a promoverlo deben gozar de permanencia; al proteger legalmente la unidad de la empresa, se está protegiendo su permanencia, desde luego que su subsistencia como conjunto es necesaria para que continúe siendo empresa; la empresa es la universalidad, la cual no podría permanecer, como tal, si sus elementos se disgregaran. En el momento en que la empresa deja de prestar sus servicios al público, pierde su carácter de cosa universal; ya no hay razón para proteger su unidad, porque ya ha dejado de ser empresa; todas las legislaciones señalan un plazo de inactividad, al final del cual la empresa pierde su calidad; entre nosotros, la legislación vigente no dice absolutamente nada, desde luego que ni siquiera contempla a la empresa como unidad patrimonial ni regula en absoluto su funcionamiento; en el Proyecto de Código de Comercio, se fija el plazo de seis meses, salvo que la suspensión de labores se justifique por la naturaleza de su finalidad.</w:t>
      </w:r>
    </w:p>
    <w:p w14:paraId="453B26B3" w14:textId="77777777" w:rsidR="00CD6098" w:rsidRDefault="00CD6098" w:rsidP="00037ACE">
      <w:pPr>
        <w:jc w:val="both"/>
        <w:rPr>
          <w:rFonts w:ascii="Times-Roman" w:hAnsi="Times-Roman" w:cs="Times-Roman"/>
          <w:sz w:val="18"/>
          <w:szCs w:val="18"/>
          <w:lang w:eastAsia="en-US"/>
        </w:rPr>
      </w:pPr>
    </w:p>
    <w:p w14:paraId="09487C85" w14:textId="77777777" w:rsidR="00CD6098" w:rsidRDefault="00CD6098" w:rsidP="00037ACE">
      <w:pPr>
        <w:jc w:val="both"/>
        <w:rPr>
          <w:rFonts w:ascii="Times-Roman" w:hAnsi="Times-Roman" w:cs="Times-Roman"/>
          <w:sz w:val="19"/>
          <w:szCs w:val="19"/>
          <w:lang w:eastAsia="en-US"/>
        </w:rPr>
      </w:pPr>
      <w:r>
        <w:rPr>
          <w:rFonts w:ascii="Times-Roman" w:hAnsi="Times-Roman" w:cs="Times-Roman"/>
          <w:sz w:val="18"/>
          <w:szCs w:val="18"/>
          <w:lang w:eastAsia="en-US"/>
        </w:rPr>
        <w:t xml:space="preserve">El segundo problema que enfrentamos en esta materia, es el de determinar la naturaleza jurídica de la empresa, como cosa, o mejor como bien que es. La </w:t>
      </w:r>
      <w:r>
        <w:rPr>
          <w:rFonts w:ascii="Times-Roman" w:hAnsi="Times-Roman" w:cs="Times-Roman"/>
          <w:sz w:val="19"/>
          <w:szCs w:val="19"/>
          <w:lang w:eastAsia="en-US"/>
        </w:rPr>
        <w:t>empresa es un bien mueble; es característica de los bienes muebles, poder ser trasladados de lugar y no estar adheridos de manera permanente a la tierra; la empresa tiene estas características, desde luego que puede ser trasladada a distintos lugares y aun de una plaza a otra.</w:t>
      </w:r>
    </w:p>
    <w:p w14:paraId="3CDDA57A" w14:textId="77777777" w:rsidR="00CD6098" w:rsidRDefault="00CD6098" w:rsidP="00037ACE">
      <w:pPr>
        <w:jc w:val="both"/>
        <w:rPr>
          <w:rFonts w:ascii="Times-Roman" w:hAnsi="Times-Roman" w:cs="Times-Roman"/>
          <w:sz w:val="19"/>
          <w:szCs w:val="19"/>
          <w:lang w:eastAsia="en-US"/>
        </w:rPr>
      </w:pPr>
    </w:p>
    <w:p w14:paraId="1E2204C7" w14:textId="77777777" w:rsidR="00CD6098" w:rsidRDefault="00CD6098" w:rsidP="00037ACE">
      <w:pPr>
        <w:jc w:val="both"/>
        <w:rPr>
          <w:rFonts w:ascii="Times-Roman" w:hAnsi="Times-Roman" w:cs="Times-Roman"/>
          <w:sz w:val="19"/>
          <w:szCs w:val="19"/>
          <w:lang w:eastAsia="en-US"/>
        </w:rPr>
      </w:pPr>
      <w:r>
        <w:rPr>
          <w:rFonts w:ascii="Times-Roman" w:hAnsi="Times-Roman" w:cs="Times-Roman"/>
          <w:sz w:val="19"/>
          <w:szCs w:val="19"/>
          <w:lang w:eastAsia="en-US"/>
        </w:rPr>
        <w:t>La empresa puede tener sus propios locales, en cuyo caso decimos que tiene elementos inmuebles; no obstante ello, la empresa continúa siendo, de por sí, un bien mueble; porque a pesar de tener elementos inmuebles no está permanentemente unida a ellos; puede desocupar sus locales y alquilar otros; o bien, vender un local para adquirir otro. El hecho de que la empresa sea mueble y no obstante tener en algunos casos elementos inmuebles, no es novedad alguna; los créditos son muebles y sin embargo pueden garantizarse con una hipoteca; la hipoteca es un derecho inmueble, pero no comunica su naturaleza al crédito que garantiza; si hemos admitido este enfoque como cierto en Derecho Civil, no debe extrañarnos que tengamos un enfoque paralelo en Derecho Mercantil, a propósito de esta materia.</w:t>
      </w:r>
    </w:p>
    <w:p w14:paraId="1A1DF666" w14:textId="77777777" w:rsidR="00CD6098" w:rsidRDefault="00CD6098" w:rsidP="00037ACE">
      <w:pPr>
        <w:jc w:val="both"/>
        <w:rPr>
          <w:rFonts w:ascii="Times-Roman" w:hAnsi="Times-Roman" w:cs="Times-Roman"/>
          <w:sz w:val="19"/>
          <w:szCs w:val="19"/>
          <w:lang w:eastAsia="en-US"/>
        </w:rPr>
      </w:pPr>
    </w:p>
    <w:p w14:paraId="0A827210" w14:textId="77777777" w:rsidR="00CD6098" w:rsidRDefault="00CD6098" w:rsidP="00037ACE">
      <w:pPr>
        <w:jc w:val="both"/>
        <w:rPr>
          <w:rFonts w:ascii="Times-Roman" w:hAnsi="Times-Roman" w:cs="Times-Roman"/>
          <w:sz w:val="19"/>
          <w:szCs w:val="19"/>
          <w:lang w:eastAsia="en-US"/>
        </w:rPr>
      </w:pPr>
      <w:r>
        <w:rPr>
          <w:rFonts w:ascii="Times-Roman" w:hAnsi="Times-Roman" w:cs="Times-Roman"/>
          <w:sz w:val="19"/>
          <w:szCs w:val="19"/>
          <w:lang w:eastAsia="en-US"/>
        </w:rPr>
        <w:t>No obstante su carácter de bien mueble, la empresa se hipoteca; la empresa no se da en prenda. Esto nos parecerá raro, porque estamos acostumbrados, en Derecho Civil, a que las cosas muebles se dan en prenda y los inmuebles se hipotecan; pero la verdad es que no fue siempre así; en Derecho Romano, se podían hipotecar los bienes muebles y hasta había un delito denominado estelionato, cometido por aquél que vendía un mueble hipotecado y ocultaba la hipoteca al comprador; por lo demás, la nave es un bien mueble y también se hipoteca; en realidad, entre la prenda y la hipoteca existe una diferencia básica; el acreedor prendario tiene la cosa pignorada en su poder, en cambio el acreedor hipotecario solamente tiene un derecho real, un gravamen sobre la cosa, que continúa en poder del deudor; es lógico, que en la inmensa mayoría de los casos, la hipoteca se constituya sobre inmuebles y la prenda sobre muebles, porque el inmueble no puede ocultarse y el mueble puede serlo fácilmente; esto explica por qué se hipotecan las naves, porque a pesar de ser muebles, son de difícil ocultación; por eso mismo, se hipoteca la empresa, porque también es difícil ocultarla; la hipoteca de la empresa, desde luego, ofrece una dificultad distinta, que es común con el embargo de la misma, la cual será estudiada más adelante.</w:t>
      </w:r>
    </w:p>
    <w:p w14:paraId="495E7C78" w14:textId="77777777" w:rsidR="00CD6098" w:rsidRDefault="00CD6098" w:rsidP="00037ACE">
      <w:pPr>
        <w:jc w:val="both"/>
        <w:rPr>
          <w:rFonts w:ascii="Times-Roman" w:hAnsi="Times-Roman" w:cs="Times-Roman"/>
          <w:sz w:val="19"/>
          <w:szCs w:val="19"/>
          <w:lang w:eastAsia="en-US"/>
        </w:rPr>
      </w:pPr>
    </w:p>
    <w:p w14:paraId="48D9EB53" w14:textId="77777777" w:rsidR="00CD6098" w:rsidRDefault="00CD6098" w:rsidP="00037ACE">
      <w:pPr>
        <w:jc w:val="both"/>
        <w:rPr>
          <w:rFonts w:ascii="Times-Roman" w:hAnsi="Times-Roman" w:cs="Times-Roman"/>
          <w:sz w:val="19"/>
          <w:szCs w:val="19"/>
          <w:lang w:eastAsia="en-US"/>
        </w:rPr>
      </w:pPr>
      <w:r>
        <w:rPr>
          <w:rFonts w:ascii="Times-Roman" w:hAnsi="Times-Roman" w:cs="Times-Roman"/>
          <w:sz w:val="19"/>
          <w:szCs w:val="19"/>
          <w:lang w:eastAsia="en-US"/>
        </w:rPr>
        <w:t>Podemos señalar como elementos de la empresa, los siguientes:</w:t>
      </w:r>
    </w:p>
    <w:p w14:paraId="6B259FEC" w14:textId="77777777" w:rsidR="00CD6098" w:rsidRDefault="00CD6098" w:rsidP="00037ACE">
      <w:pPr>
        <w:jc w:val="both"/>
        <w:rPr>
          <w:rFonts w:ascii="Times-Roman" w:hAnsi="Times-Roman" w:cs="Times-Roman"/>
          <w:sz w:val="19"/>
          <w:szCs w:val="19"/>
          <w:lang w:eastAsia="en-US"/>
        </w:rPr>
      </w:pPr>
    </w:p>
    <w:p w14:paraId="1D751999" w14:textId="77777777" w:rsidR="00CD6098" w:rsidRDefault="00CD6098" w:rsidP="00037ACE">
      <w:pPr>
        <w:jc w:val="both"/>
        <w:rPr>
          <w:rFonts w:ascii="Times-Roman" w:hAnsi="Times-Roman" w:cs="Times-Roman"/>
          <w:sz w:val="19"/>
          <w:szCs w:val="19"/>
          <w:lang w:eastAsia="en-US"/>
        </w:rPr>
      </w:pPr>
      <w:r>
        <w:rPr>
          <w:rFonts w:ascii="Times-Roman" w:hAnsi="Times-Roman" w:cs="Times-Roman"/>
          <w:b/>
          <w:bCs/>
          <w:sz w:val="19"/>
          <w:szCs w:val="19"/>
          <w:lang w:eastAsia="en-US"/>
        </w:rPr>
        <w:t xml:space="preserve">l.-Elementos materiales: </w:t>
      </w:r>
      <w:r>
        <w:rPr>
          <w:rFonts w:ascii="Times-Roman" w:hAnsi="Times-Roman" w:cs="Times-Roman"/>
          <w:sz w:val="19"/>
          <w:szCs w:val="19"/>
          <w:lang w:eastAsia="en-US"/>
        </w:rPr>
        <w:t>Forman parte de la empresa las mercancías, o sea, las cosas que ofrece a la venta al público; las existencias de materias primas destinadas al proceso de elaboración, tratándose de una empresa industrial; lo mismo que los productos elaborados o en proceso de elaboración; el llamado activo fijo, o sean aquellos objetos destinados a ser utilizados en las actividades de la empresa, sin constituir objetos que se ofrezcan en venta o destinados a sufrir el proceso industria', es decir, tales como las maquinarias, la estantería, los escritorios y demás equipo necesario para el trabajo de la empresa. También forman parte de la empresa el establecimiento, cuando pertenece a la empresa; si el local es alquilado, no forma de por sí, parte de la empresa, aunque sí el derecho a ocuparlo en los términos del contrato de arrendamiento.</w:t>
      </w:r>
    </w:p>
    <w:p w14:paraId="3063B59C" w14:textId="77777777" w:rsidR="00CD6098" w:rsidRDefault="00CD6098" w:rsidP="00037ACE">
      <w:pPr>
        <w:jc w:val="both"/>
        <w:rPr>
          <w:rFonts w:ascii="Times-Roman" w:hAnsi="Times-Roman" w:cs="Times-Roman"/>
          <w:sz w:val="19"/>
          <w:szCs w:val="19"/>
          <w:lang w:eastAsia="en-US"/>
        </w:rPr>
      </w:pPr>
    </w:p>
    <w:p w14:paraId="7C3AEFE5" w14:textId="77777777" w:rsidR="00CD6098" w:rsidRDefault="00CD6098" w:rsidP="00037ACE">
      <w:pPr>
        <w:jc w:val="both"/>
        <w:rPr>
          <w:rFonts w:ascii="Times-Roman" w:hAnsi="Times-Roman" w:cs="Times-Roman"/>
          <w:sz w:val="18"/>
          <w:szCs w:val="18"/>
          <w:lang w:eastAsia="en-US"/>
        </w:rPr>
      </w:pPr>
      <w:r>
        <w:rPr>
          <w:rFonts w:ascii="Times-Roman" w:hAnsi="Times-Roman" w:cs="Times-Roman"/>
          <w:b/>
          <w:bCs/>
          <w:sz w:val="19"/>
          <w:szCs w:val="19"/>
          <w:lang w:eastAsia="en-US"/>
        </w:rPr>
        <w:t xml:space="preserve">II.-Elementos intangibles: </w:t>
      </w:r>
      <w:r>
        <w:rPr>
          <w:rFonts w:ascii="Times-Roman" w:hAnsi="Times-Roman" w:cs="Times-Roman"/>
          <w:sz w:val="18"/>
          <w:szCs w:val="18"/>
          <w:lang w:eastAsia="en-US"/>
        </w:rPr>
        <w:t>La empresa tiene además una serie de elementos inmateriales indispensables para su existencia; tales son su organización, su dirección, el llamado aviamiento, el crédito comercial o derecho de llave, el derecho a la clientela o a la fama mercantil, y las patentes y distintivos comerciales que utiliza. El nombre comercial es también un elemento intangible de la empresa.</w:t>
      </w:r>
    </w:p>
    <w:p w14:paraId="7C12164E" w14:textId="77777777" w:rsidR="00CD6098" w:rsidRDefault="00CD6098" w:rsidP="00037ACE">
      <w:pPr>
        <w:jc w:val="both"/>
        <w:rPr>
          <w:rFonts w:ascii="Times-Roman" w:hAnsi="Times-Roman" w:cs="Times-Roman"/>
          <w:sz w:val="18"/>
          <w:szCs w:val="18"/>
          <w:lang w:eastAsia="en-US"/>
        </w:rPr>
      </w:pPr>
    </w:p>
    <w:p w14:paraId="5CEEA0C0" w14:textId="77777777" w:rsidR="00CD6098" w:rsidRDefault="00CD6098" w:rsidP="00037ACE">
      <w:pPr>
        <w:jc w:val="both"/>
        <w:rPr>
          <w:rFonts w:ascii="Times-Roman" w:hAnsi="Times-Roman" w:cs="Times-Roman"/>
          <w:sz w:val="18"/>
          <w:szCs w:val="18"/>
          <w:lang w:eastAsia="en-US"/>
        </w:rPr>
      </w:pPr>
      <w:r w:rsidRPr="00CD6098">
        <w:rPr>
          <w:rFonts w:ascii="Times-Roman" w:hAnsi="Times-Roman" w:cs="Times-Roman"/>
          <w:b/>
          <w:sz w:val="18"/>
          <w:szCs w:val="18"/>
          <w:lang w:eastAsia="en-US"/>
        </w:rPr>
        <w:t>III</w:t>
      </w:r>
      <w:r>
        <w:rPr>
          <w:rFonts w:ascii="Times-Roman" w:hAnsi="Times-Roman" w:cs="Times-Roman"/>
          <w:sz w:val="18"/>
          <w:szCs w:val="18"/>
          <w:lang w:eastAsia="en-US"/>
        </w:rPr>
        <w:t xml:space="preserve">.- </w:t>
      </w:r>
      <w:r>
        <w:rPr>
          <w:rFonts w:ascii="Times-Roman" w:hAnsi="Times-Roman" w:cs="Times-Roman"/>
          <w:b/>
          <w:bCs/>
          <w:sz w:val="19"/>
          <w:szCs w:val="19"/>
          <w:lang w:eastAsia="en-US"/>
        </w:rPr>
        <w:t xml:space="preserve">Trabajo: </w:t>
      </w:r>
      <w:r>
        <w:rPr>
          <w:rFonts w:ascii="Times-Roman" w:hAnsi="Times-Roman" w:cs="Times-Roman"/>
          <w:sz w:val="18"/>
          <w:szCs w:val="18"/>
          <w:lang w:eastAsia="en-US"/>
        </w:rPr>
        <w:t>El trabajo es un elemento de la empresa, desde luego que ésta no puede existir y funcionar sin él; el trabajo incluye no solamente los servicios prestados por el personal subalterno de la empresa, sino también el trabajo de dirección realizado por el empresario. A primera vista, podría parecer que, al señalar el trabajo como elemento de la empresa, se está diciendo que la actividad de la persona es susceptible de apropiación; este enfoque es falso, el trabajo, como actividad personal, pertenece a quien lo presta; el pago de la remuneración no convierte al asalariado en un simple productor de un trabajo que pertenece a otro, lo que sería contrario a los conceptos fundamentales de los derechos del hombre; si se afirma que el trabajo es elemento de la empresa, es porque la empresa no puede subsistir ni funcionar sin que se realice trabajo, tanto por los empleados como por el empresario; señala pues, ese requisito indispensable de la existencia de la empresa, pero sin prejuzgar sobre la calidad en que el trabajo se presente.</w:t>
      </w:r>
    </w:p>
    <w:p w14:paraId="4999CDAD" w14:textId="77777777" w:rsidR="00CD6098" w:rsidRDefault="00CD6098" w:rsidP="00037ACE">
      <w:pPr>
        <w:jc w:val="both"/>
        <w:rPr>
          <w:rFonts w:ascii="Times-Roman" w:hAnsi="Times-Roman" w:cs="Times-Roman"/>
          <w:sz w:val="18"/>
          <w:szCs w:val="18"/>
          <w:lang w:eastAsia="en-US"/>
        </w:rPr>
      </w:pPr>
    </w:p>
    <w:p w14:paraId="2C743D37"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Algunos de los elementos intangibles que se han mencionado, requieren una explicación especial; tales son, el nombre comercial, el aviamiento, el crédito comercial o derecho de llave y el llamado derecho a la clientela.</w:t>
      </w:r>
    </w:p>
    <w:p w14:paraId="025D38E2" w14:textId="77777777" w:rsidR="00CD6098" w:rsidRDefault="00CD6098" w:rsidP="00037ACE">
      <w:pPr>
        <w:jc w:val="both"/>
        <w:rPr>
          <w:rFonts w:ascii="Times-Roman" w:hAnsi="Times-Roman" w:cs="Times-Roman"/>
          <w:sz w:val="18"/>
          <w:szCs w:val="18"/>
          <w:lang w:eastAsia="en-US"/>
        </w:rPr>
      </w:pPr>
    </w:p>
    <w:p w14:paraId="4D5BD7AB"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El nombre comercial está destinado a distinguir la empresa de las demás de su tipo, o sea de las que se dedican a la misma clase de actividades; por lo tanto, el primer requisito indispensable es que no se use el mismo nombre por dos empresas que tengan similar finalidad, o que no usen tales empresas nombres que puedan provocar la confusión del público respecto de ellas.</w:t>
      </w:r>
    </w:p>
    <w:p w14:paraId="576DA359" w14:textId="77777777" w:rsidR="00CD6098" w:rsidRDefault="00CD6098" w:rsidP="00037ACE">
      <w:pPr>
        <w:jc w:val="both"/>
        <w:rPr>
          <w:rFonts w:ascii="Times-Roman" w:hAnsi="Times-Roman" w:cs="Times-Roman"/>
          <w:sz w:val="18"/>
          <w:szCs w:val="18"/>
          <w:lang w:eastAsia="en-US"/>
        </w:rPr>
      </w:pPr>
    </w:p>
    <w:p w14:paraId="24207137"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Los nombres pueden ser de dos clases:</w:t>
      </w:r>
    </w:p>
    <w:p w14:paraId="0BA40354" w14:textId="77777777" w:rsidR="00CD6098" w:rsidRDefault="00CD6098" w:rsidP="00037ACE">
      <w:pPr>
        <w:jc w:val="both"/>
        <w:rPr>
          <w:rFonts w:ascii="Times-Roman" w:hAnsi="Times-Roman" w:cs="Times-Roman"/>
          <w:sz w:val="18"/>
          <w:szCs w:val="18"/>
          <w:lang w:eastAsia="en-US"/>
        </w:rPr>
      </w:pPr>
    </w:p>
    <w:p w14:paraId="2E2077C5"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1) Nombre finalista, o sea el que es alusivo a las actividades que la empresa desempeña; como cuando designamos un almacén que vende artículos de ferretería con el nombre de "La Ferretera".</w:t>
      </w:r>
    </w:p>
    <w:p w14:paraId="2E9F9AA2" w14:textId="77777777" w:rsidR="00CD6098" w:rsidRDefault="00CD6098" w:rsidP="00037ACE">
      <w:pPr>
        <w:jc w:val="both"/>
        <w:rPr>
          <w:rFonts w:ascii="Times-Roman" w:hAnsi="Times-Roman" w:cs="Times-Roman"/>
          <w:sz w:val="18"/>
          <w:szCs w:val="18"/>
          <w:lang w:eastAsia="en-US"/>
        </w:rPr>
      </w:pPr>
    </w:p>
    <w:p w14:paraId="3BFBF911"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2) Nombre de fantasía, o sea aquél que no tiene relación alguna con las actividades de la empresa y que se reduce a mero distintivo, como cuando se designa un almacén cualquiera con el nombre de "El Globito". Los nombres de fantasía pueden ser de lo más variados; inclusive, puede figurar entre ellos el nombre del titular de la empresa; no hay inconveniente jurídico de utilizar nombres propios de personas para designar las empresas, pero cuando el nombre es de una persona distinta del titular, no puede usarse sin autorización de su dueño por elemental respeto a la personalidad de éste.</w:t>
      </w:r>
    </w:p>
    <w:p w14:paraId="4C8ECE34" w14:textId="77777777" w:rsidR="00CD6098" w:rsidRDefault="00CD6098" w:rsidP="00037ACE">
      <w:pPr>
        <w:jc w:val="both"/>
        <w:rPr>
          <w:rFonts w:ascii="Times-Roman" w:hAnsi="Times-Roman" w:cs="Times-Roman"/>
          <w:sz w:val="18"/>
          <w:szCs w:val="18"/>
          <w:lang w:eastAsia="en-US"/>
        </w:rPr>
      </w:pPr>
    </w:p>
    <w:p w14:paraId="1D89703E"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El derecho al nombre nace del uso, pero es indispensable registrarlo porque el registro sirve como un medio de asegurarlo, probarlo y darlo a conocer a los demás. En las legislaciones extranjeras, el uso del nombre constituye la fuente de la propiedad sobre el mismo; entre nosotros es indispensable su registro; en el Proyecto de Código de Comercio, se establece que el derecho al nombre nace del uso, pero que cede ante el derecho inscrito; la razón de este criterio estriba en que la inscripción da una seguridad, en cuanto a la prueba y en cuanto a la fecha en que se adquirió el derecho al nombre; ello impide, en los litigios que puedan presentarse, no pocas dificultades. Además, en el Proyecto de Código de Comercio, por razón de protección al idioma, se limitó la protección a los nombres en castellano; a partir de la fecha en que se ponga en vigencia, los nombres en idiomas extranjeros no podrán registrarse; pero los registrados con anterioridad, conservarán sus derechos hasta que expire el plazo para que fueron inscritos.</w:t>
      </w:r>
    </w:p>
    <w:p w14:paraId="3CA3BBB6" w14:textId="77777777" w:rsidR="00CD6098" w:rsidRDefault="00CD6098" w:rsidP="00037ACE">
      <w:pPr>
        <w:jc w:val="both"/>
        <w:rPr>
          <w:rFonts w:ascii="Times-Roman" w:hAnsi="Times-Roman" w:cs="Times-Roman"/>
          <w:sz w:val="18"/>
          <w:szCs w:val="18"/>
          <w:lang w:eastAsia="en-US"/>
        </w:rPr>
      </w:pPr>
    </w:p>
    <w:p w14:paraId="70651001"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Quien tiene derecho al nombre comercial, tiene derecho a usarlo y a impedir que otro lo use; el que suplanta un nombre comercial ajeno, responde a su dueño de daños y perjuicios; desde luego, la simple solicitud de registro de un nombre no puede constituir suplantación entre nosotros.</w:t>
      </w:r>
    </w:p>
    <w:p w14:paraId="7023DCDD" w14:textId="77777777" w:rsidR="00CD6098" w:rsidRDefault="00CD6098" w:rsidP="00037ACE">
      <w:pPr>
        <w:jc w:val="both"/>
        <w:rPr>
          <w:rFonts w:ascii="Times-Roman" w:hAnsi="Times-Roman" w:cs="Times-Roman"/>
          <w:sz w:val="18"/>
          <w:szCs w:val="18"/>
          <w:lang w:eastAsia="en-US"/>
        </w:rPr>
      </w:pPr>
    </w:p>
    <w:p w14:paraId="2ADCF6B5"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El derecho al nombre comercial se extingue con la empresa que lo usa; si la empresa se ha disuelto, ya no hay razón para proteger su nombre.</w:t>
      </w:r>
    </w:p>
    <w:p w14:paraId="79F1514C" w14:textId="77777777" w:rsidR="00CD6098" w:rsidRDefault="00CD6098" w:rsidP="00037ACE">
      <w:pPr>
        <w:jc w:val="both"/>
        <w:rPr>
          <w:rFonts w:ascii="Times-Roman" w:hAnsi="Times-Roman" w:cs="Times-Roman"/>
          <w:sz w:val="18"/>
          <w:szCs w:val="18"/>
          <w:lang w:eastAsia="en-US"/>
        </w:rPr>
      </w:pPr>
    </w:p>
    <w:p w14:paraId="39C8BEC1"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El aviamiento es la circunstancia de que la empresa posea todo lo necesario para estar en marcha; es una palabra italiana que tiene la misma raíz que la palabra castellana avío; el aviamiento no es sólo la organización ni sólo la dirección de la empresa, sino que comprende todo el conjunto de circunstancias inmateriales necesarias para que la empresa pueda funcionar; comprende, por lo tanto, la organización, la dirección, la contabilidad y demás. El llamado derecho a la clientela no es el aviamiento, sino más bien una consecuencia del aviamiento.</w:t>
      </w:r>
    </w:p>
    <w:p w14:paraId="654ACC8D" w14:textId="77777777" w:rsidR="00CD6098" w:rsidRDefault="00CD6098" w:rsidP="00037ACE">
      <w:pPr>
        <w:jc w:val="both"/>
        <w:rPr>
          <w:rFonts w:ascii="Times-Roman" w:hAnsi="Times-Roman" w:cs="Times-Roman"/>
          <w:sz w:val="18"/>
          <w:szCs w:val="18"/>
          <w:lang w:eastAsia="en-US"/>
        </w:rPr>
      </w:pPr>
    </w:p>
    <w:p w14:paraId="01962048"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El derecho a la clientela no puede significar que la empresa tenga derecho a que quienes utilizan sus servicios continúen haciéndolo; desde luego que la utilización de los servicios de una empresa, es enteramente libre para las personas que lo deseen; significa que tiene derecho a una serie de circunstancias que le permiten conservar su prestigio comercial, lo cual es condición indispensable para la conservación de la clientela; por eso este derecho se denomina también derecho a la fama mercantil. Porque la empresa tiene derecho a la clientela, las empresas competidoras no pueden desprestigiar sus productos o sus servicios en la propaganda que hagan; ésta es una norma de ética mercantil. De igual manera, porque la empresa tiene derecho a la clientela, la tendencia moderna es a introducir ciertas normas que le permitan estabilidad en sus locales, cuando éstos no sean pertenencia de su titular; así como a prohibir a quien enajena una empresa mercantil que abra otra con igual finalidad, en las vecindades de la enajenada, durante un lapso de dos años.</w:t>
      </w:r>
    </w:p>
    <w:p w14:paraId="77612293" w14:textId="77777777" w:rsidR="00CD6098" w:rsidRDefault="00CD6098" w:rsidP="00037ACE">
      <w:pPr>
        <w:jc w:val="both"/>
        <w:rPr>
          <w:rFonts w:ascii="Times-Roman" w:hAnsi="Times-Roman" w:cs="Times-Roman"/>
          <w:sz w:val="18"/>
          <w:szCs w:val="18"/>
          <w:lang w:eastAsia="en-US"/>
        </w:rPr>
      </w:pPr>
    </w:p>
    <w:p w14:paraId="647858FD" w14:textId="77777777" w:rsidR="00CD6098" w:rsidRDefault="00CD6098" w:rsidP="00037ACE">
      <w:pPr>
        <w:jc w:val="both"/>
        <w:rPr>
          <w:rFonts w:ascii="Times-Roman" w:hAnsi="Times-Roman" w:cs="Times-Roman"/>
          <w:sz w:val="19"/>
          <w:szCs w:val="19"/>
          <w:lang w:eastAsia="en-US"/>
        </w:rPr>
      </w:pPr>
      <w:r>
        <w:rPr>
          <w:rFonts w:ascii="Times-Roman" w:hAnsi="Times-Roman" w:cs="Times-Roman"/>
          <w:sz w:val="18"/>
          <w:szCs w:val="18"/>
          <w:lang w:eastAsia="en-US"/>
        </w:rPr>
        <w:t xml:space="preserve">El llamado crédito mercantil o derecho de llave, es el sobreprecio que se paga para adquirirla, por encima de los elementos materiales de la empresa, por el simple hecho de ser una empresa en marcha. Quien adquiere una empresa en marcha, no pagará solamente el valor de las cosas que la forman, pues en ese caso sería igual que adquiriera por separado estas cosas para fundar la empresa, y se aprovecharía gratuitamente de todo el trabajo de promoción anterior, que es lo que hace beneficiosa su adquisición con preferencia a la fundación de otra distinta; el enajenante tiene derecho a cobrar algún excedente, desde luego que transfiere una empresa que tiene ya una clientela establecida, de la cual se aprovechará el </w:t>
      </w:r>
      <w:r>
        <w:rPr>
          <w:rFonts w:ascii="Times-Roman" w:hAnsi="Times-Roman" w:cs="Times-Roman"/>
          <w:sz w:val="19"/>
          <w:szCs w:val="19"/>
          <w:lang w:eastAsia="en-US"/>
        </w:rPr>
        <w:t>adquiriente; esta cantidad constituye el derecho de llave o crédito mercantil. Por lo tanto, no puede hablarse de tal derecho mientras la empresa no ha sido enajenada alguna vez; quien la adquiera, deberá contabilizar este derecho por el precio realmente pagado por él y amortizarlo en un plazo que no exceda de cinco años.</w:t>
      </w:r>
    </w:p>
    <w:p w14:paraId="77FAC364" w14:textId="77777777" w:rsidR="00CD6098" w:rsidRDefault="00CD6098" w:rsidP="00037ACE">
      <w:pPr>
        <w:jc w:val="both"/>
        <w:rPr>
          <w:rFonts w:ascii="Times-Roman" w:hAnsi="Times-Roman" w:cs="Times-Roman"/>
          <w:sz w:val="19"/>
          <w:szCs w:val="19"/>
          <w:lang w:eastAsia="en-US"/>
        </w:rPr>
      </w:pPr>
    </w:p>
    <w:p w14:paraId="6A26B93A" w14:textId="77777777" w:rsidR="00CD6098" w:rsidRDefault="00CD6098" w:rsidP="00037ACE">
      <w:pPr>
        <w:jc w:val="both"/>
        <w:rPr>
          <w:rFonts w:ascii="Times-Roman" w:hAnsi="Times-Roman" w:cs="Times-Roman"/>
          <w:sz w:val="19"/>
          <w:szCs w:val="19"/>
          <w:lang w:eastAsia="en-US"/>
        </w:rPr>
      </w:pPr>
      <w:r>
        <w:rPr>
          <w:rFonts w:ascii="Times-Roman" w:hAnsi="Times-Roman" w:cs="Times-Roman"/>
          <w:sz w:val="19"/>
          <w:szCs w:val="19"/>
          <w:lang w:eastAsia="en-US"/>
        </w:rPr>
        <w:t xml:space="preserve">El establecimiento es también un elemento de la empresa; es el lugar en que ejerce sus operaciones. Si pertenece al titular de la empresa, forma normalmente parte de ella. Si se trata de un lugar alquilado, desde luego como inmueble no puede formar parte de la empresa; pero el derecho a ocuparlo, en los términos del contrato respectivo, sí forma parte de la empresa. Este último derecho no se encuentra regulado actualmente entre nosotros; la legislación vigente no contempla tal como se ha dicho, la empresa en su concepto moderno, por lo que tampoco consigna este derecho ni ninguno de los </w:t>
      </w:r>
      <w:r w:rsidR="000014DB">
        <w:rPr>
          <w:rFonts w:ascii="Times-Roman" w:hAnsi="Times-Roman" w:cs="Times-Roman"/>
          <w:sz w:val="19"/>
          <w:szCs w:val="19"/>
          <w:lang w:eastAsia="en-US"/>
        </w:rPr>
        <w:t>mencionados en</w:t>
      </w:r>
      <w:r>
        <w:rPr>
          <w:rFonts w:ascii="Times-Roman" w:hAnsi="Times-Roman" w:cs="Times-Roman"/>
          <w:sz w:val="19"/>
          <w:szCs w:val="19"/>
          <w:lang w:eastAsia="en-US"/>
        </w:rPr>
        <w:t xml:space="preserve"> este apartado; en el Proyecto de Código de Comercio, se establece que, si se enajena una empresa, mientras no cambie su finalidad, el adquiriente se subroga en los derechos del enajenante derivados de los contratos de arrendamiento de los locales.</w:t>
      </w:r>
    </w:p>
    <w:p w14:paraId="6A9CE778" w14:textId="77777777" w:rsidR="00CD6098" w:rsidRDefault="00CD6098" w:rsidP="00037ACE">
      <w:pPr>
        <w:jc w:val="both"/>
        <w:rPr>
          <w:rFonts w:ascii="Times-Roman" w:hAnsi="Times-Roman" w:cs="Times-Roman"/>
          <w:sz w:val="19"/>
          <w:szCs w:val="19"/>
          <w:lang w:eastAsia="en-US"/>
        </w:rPr>
      </w:pPr>
    </w:p>
    <w:p w14:paraId="2068DB09" w14:textId="77777777" w:rsidR="00CD6098" w:rsidRDefault="00CD6098" w:rsidP="00037ACE">
      <w:pPr>
        <w:jc w:val="both"/>
        <w:rPr>
          <w:rFonts w:ascii="Times-Roman" w:hAnsi="Times-Roman" w:cs="Times-Roman"/>
          <w:sz w:val="19"/>
          <w:szCs w:val="19"/>
          <w:lang w:eastAsia="en-US"/>
        </w:rPr>
      </w:pPr>
      <w:r>
        <w:rPr>
          <w:rFonts w:ascii="Times-Roman" w:hAnsi="Times-Roman" w:cs="Times-Roman"/>
          <w:sz w:val="19"/>
          <w:szCs w:val="19"/>
          <w:lang w:eastAsia="en-US"/>
        </w:rPr>
        <w:t>Una empresa puede tener uno o varios establecimientos; la pluralidad de establecimientos no implica pluralidad de empresa; en relación con esto, podemos decir de la empresa y sus establecimientos, lo mismo que se ha dicho más arriba respecto de la empresa y de sus departamentos.</w:t>
      </w:r>
    </w:p>
    <w:p w14:paraId="71A7A615" w14:textId="77777777" w:rsidR="00CD6098" w:rsidRDefault="00CD6098" w:rsidP="00037ACE">
      <w:pPr>
        <w:jc w:val="both"/>
        <w:rPr>
          <w:rFonts w:ascii="Times-Roman" w:hAnsi="Times-Roman" w:cs="Times-Roman"/>
          <w:sz w:val="19"/>
          <w:szCs w:val="19"/>
          <w:lang w:eastAsia="en-US"/>
        </w:rPr>
      </w:pPr>
    </w:p>
    <w:p w14:paraId="479B6E36" w14:textId="77777777" w:rsidR="00CD6098" w:rsidRDefault="00CD6098" w:rsidP="00037ACE">
      <w:pPr>
        <w:jc w:val="both"/>
        <w:rPr>
          <w:rFonts w:ascii="Times-Roman" w:hAnsi="Times-Roman" w:cs="Times-Roman"/>
          <w:sz w:val="19"/>
          <w:szCs w:val="19"/>
          <w:lang w:eastAsia="en-US"/>
        </w:rPr>
      </w:pPr>
      <w:r>
        <w:rPr>
          <w:rFonts w:ascii="Times-Roman" w:hAnsi="Times-Roman" w:cs="Times-Roman"/>
          <w:sz w:val="19"/>
          <w:szCs w:val="19"/>
          <w:lang w:eastAsia="en-US"/>
        </w:rPr>
        <w:t>La empresa puede enajenarse, arrendarse o constituirse sobre ella derechos reales. Ya se ha dicho anteriormente que la empresa puede hipotecarse.</w:t>
      </w:r>
    </w:p>
    <w:p w14:paraId="30DFEDC0" w14:textId="77777777" w:rsidR="00CD6098" w:rsidRDefault="00CD6098" w:rsidP="00037ACE">
      <w:pPr>
        <w:jc w:val="both"/>
        <w:rPr>
          <w:rFonts w:ascii="Times-Roman" w:hAnsi="Times-Roman" w:cs="Times-Roman"/>
          <w:sz w:val="19"/>
          <w:szCs w:val="19"/>
          <w:lang w:eastAsia="en-US"/>
        </w:rPr>
      </w:pPr>
    </w:p>
    <w:p w14:paraId="19B0BA51" w14:textId="77777777" w:rsidR="00CD6098" w:rsidRDefault="00CD6098" w:rsidP="00037ACE">
      <w:pPr>
        <w:jc w:val="both"/>
        <w:rPr>
          <w:rFonts w:ascii="Times-Roman" w:hAnsi="Times-Roman" w:cs="Times-Roman"/>
          <w:sz w:val="19"/>
          <w:szCs w:val="19"/>
          <w:lang w:eastAsia="en-US"/>
        </w:rPr>
      </w:pPr>
      <w:r>
        <w:rPr>
          <w:rFonts w:ascii="Times-Roman" w:hAnsi="Times-Roman" w:cs="Times-Roman"/>
          <w:sz w:val="19"/>
          <w:szCs w:val="19"/>
          <w:lang w:eastAsia="en-US"/>
        </w:rPr>
        <w:t xml:space="preserve">La enajenación de la empresa se efectuará por escritura pública, la cual deberá inscribirse en el Registro de Comercio. </w:t>
      </w:r>
      <w:r>
        <w:rPr>
          <w:rFonts w:ascii="Helvetica" w:hAnsi="Helvetica" w:cs="Helvetica"/>
          <w:sz w:val="19"/>
          <w:szCs w:val="19"/>
          <w:lang w:eastAsia="en-US"/>
        </w:rPr>
        <w:t xml:space="preserve">La </w:t>
      </w:r>
      <w:r>
        <w:rPr>
          <w:rFonts w:ascii="Times-Roman" w:hAnsi="Times-Roman" w:cs="Times-Roman"/>
          <w:sz w:val="19"/>
          <w:szCs w:val="19"/>
          <w:lang w:eastAsia="en-US"/>
        </w:rPr>
        <w:t>enajenación de la empresa implica la de todos sus elementos, salvo las patentes de invención, las representaciones exclusivas y las concesiones. En consecuencia, el adquiriente se hace dueño de todo el activo de la empresa, incluyendo los créditos a favor del enajenante; y en la misma forma, se hace responsable de todo el pasivo de la empresa. Los elementos que se han excluido, tal como se indicó más arriba, lo han sido en razón de su propia naturaleza; las patentes constituyen un premio a la invención de su titular, más bien que un elemento normal de la empresa; las representaciones exclusivas y las concesiones han sido dadas generalmente, al titular personalmente, por lo que no pueden enajenarse sin permiso de quienes la otorgaron; en vista de estos motivos, estas cosas no pueden considerarse incluidas en la operación, a menos que lo sean expresamente.</w:t>
      </w:r>
    </w:p>
    <w:p w14:paraId="2BE8678E" w14:textId="77777777" w:rsidR="00CD6098" w:rsidRDefault="00CD6098" w:rsidP="00037ACE">
      <w:pPr>
        <w:jc w:val="both"/>
        <w:rPr>
          <w:rFonts w:ascii="Times-Roman" w:hAnsi="Times-Roman" w:cs="Times-Roman"/>
          <w:sz w:val="19"/>
          <w:szCs w:val="19"/>
          <w:lang w:eastAsia="en-US"/>
        </w:rPr>
      </w:pPr>
    </w:p>
    <w:p w14:paraId="0DD979EC" w14:textId="77777777" w:rsidR="00CD6098" w:rsidRDefault="00CD6098" w:rsidP="00037ACE">
      <w:pPr>
        <w:jc w:val="both"/>
        <w:rPr>
          <w:rFonts w:ascii="Times-Roman" w:hAnsi="Times-Roman" w:cs="Times-Roman"/>
          <w:sz w:val="18"/>
          <w:szCs w:val="18"/>
          <w:lang w:eastAsia="en-US"/>
        </w:rPr>
      </w:pPr>
      <w:r>
        <w:rPr>
          <w:rFonts w:ascii="Times-Roman" w:hAnsi="Times-Roman" w:cs="Times-Roman"/>
          <w:sz w:val="19"/>
          <w:szCs w:val="19"/>
          <w:lang w:eastAsia="en-US"/>
        </w:rPr>
        <w:t xml:space="preserve">Los créditos activos pertenecientes a la empresa enajenada se consideran traspasados con ella; en este caso, si nos atenemos a las reglas establecidas en el Código Civil, sería necesario notificar a los deudores la cesión de los créditos; en el Proyecto de Código de Comercio, se ha suprimido esa exigencia siempre que la cesión de la empresa esté inscrita en el Registro de Comercio y haya sido publicada. El fundamento de este cambio de criterio, obedece a la publicidad de que ha sido objeto y a la costumbre mercantil de cancelar las deudas originadas en negocios mercantiles en el establecimiento de la empresa acreedora, con abstracción de quien sea el titular de la misma, cuyo nombre generalmente se ignora. No obstante </w:t>
      </w:r>
      <w:r>
        <w:rPr>
          <w:rFonts w:ascii="Times-Roman" w:hAnsi="Times-Roman" w:cs="Times-Roman"/>
          <w:sz w:val="18"/>
          <w:szCs w:val="18"/>
          <w:lang w:eastAsia="en-US"/>
        </w:rPr>
        <w:t>ello, como es posible que cualquier deudor de la empresa pague al enajenante por ignorar el traspaso, a pesar de su inscripción y publicación, se ha establecido que queda liberado si ha hecho tal pago de buena fe.</w:t>
      </w:r>
    </w:p>
    <w:p w14:paraId="6B270336" w14:textId="77777777" w:rsidR="00CD6098" w:rsidRDefault="00CD6098" w:rsidP="00037ACE">
      <w:pPr>
        <w:jc w:val="both"/>
        <w:rPr>
          <w:rFonts w:ascii="Times-Roman" w:hAnsi="Times-Roman" w:cs="Times-Roman"/>
          <w:sz w:val="18"/>
          <w:szCs w:val="18"/>
          <w:lang w:eastAsia="en-US"/>
        </w:rPr>
      </w:pPr>
    </w:p>
    <w:p w14:paraId="52B31C76"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La hipoteca de la empresa, así como su embargo, ofrecen una dificultad en relación con las mercancías, las cuales tienen que ser enajenadas y sustituidas por otras, en el giro ordinario de las actividades de la empresa; no es posible que una empresa comercial ejerza sus actividades sin vender sus mercancías, como tampoco lo es que una empresa industrial las ejerza, sin transformar las materias primas y vender los productos elaborados. El concepto que traemos del Derecho Civil sobre lo que debe ser la hipoteca y el embargo, implica que las cosas gravadas o embargadas no se enajenan, sino que sean las mismas cosas las que necesariamente han de servir de garantía o han de utilizarse para hacer el pago.</w:t>
      </w:r>
    </w:p>
    <w:p w14:paraId="3C57BFCC" w14:textId="77777777" w:rsidR="00CD6098" w:rsidRDefault="00CD6098" w:rsidP="00037ACE">
      <w:pPr>
        <w:jc w:val="both"/>
        <w:rPr>
          <w:rFonts w:ascii="Times-Roman" w:hAnsi="Times-Roman" w:cs="Times-Roman"/>
          <w:sz w:val="18"/>
          <w:szCs w:val="18"/>
          <w:lang w:eastAsia="en-US"/>
        </w:rPr>
      </w:pPr>
    </w:p>
    <w:p w14:paraId="0D65C24A"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En Derecho Mercantil, el concepto debe necesariamente variar, pues de lo contrario la empresa hipotecada o embargada tendría que cerrar sus puertas al público; el problema se soluciona considerando que la empresa ofrece como garantía su valor de inventario, por lo que es posible enajenar algunos de sus elementos, siempre que se sustituyan por su precio o por otros que representen igual o mayor valor. Para llenar este requisito, se nombra un interventor, cuya función es supervisar las operaciones de la empresa, a fin de asegurarse que las mercancías sean vendidas por su justo precio, que éste ingrese a la caja de la empresa y que únicamente se hagan los gastos que el giro ordinario de los negocios requiera; desde luego, el interventor podrá autorizar en el caso de la hipoteca de una empresa, la salida de aquella cuota de fondos que contractualmente se permite retirar al titular para cubrir sus gastos personales. El interventor es nombrado, en el caso de la hipoteca, por el acreedor hipotecario y, en el caso del embargo, es el depositario judicial; en ambos casos, sus servicios se remunerarán con cargo a la caja de la empresa hipotecada o embarcada.</w:t>
      </w:r>
    </w:p>
    <w:p w14:paraId="13DB47CF" w14:textId="77777777" w:rsidR="00CD6098" w:rsidRDefault="00CD6098" w:rsidP="00037ACE">
      <w:pPr>
        <w:jc w:val="both"/>
        <w:rPr>
          <w:rFonts w:ascii="Times-Roman" w:hAnsi="Times-Roman" w:cs="Times-Roman"/>
          <w:sz w:val="18"/>
          <w:szCs w:val="18"/>
          <w:lang w:eastAsia="en-US"/>
        </w:rPr>
      </w:pPr>
    </w:p>
    <w:p w14:paraId="5E5E8925"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Si sobre la empresa se constituye un derecho de usufructo, o si la misma se da en arrendamiento, la administración de ella corresponde al usufructuario o arrendatario para su debida explotación; en estos casos, el usufructuario o arrendatario puede operar la empresa pero sin cambiar su finalidad, entendiéndose que con ello cumple con la obligación civil de no alterar la forma y sustancia de la cosa fructuaria o arrendada. En estos casos, los créditos activos de la empresa se traspasan a favor del usufructuario o del arrendatario, en los términos antes indicados; la razón estriba en que estos créditos representan recursos de la empresa indispensables para su operación; desde luego, el beneficiario deberá responder al final del usufructo o del arrendamiento, por el valor de inventario total de los créditos que le han sido cedidos.</w:t>
      </w:r>
    </w:p>
    <w:p w14:paraId="6BC02C14" w14:textId="77777777" w:rsidR="00CD6098" w:rsidRDefault="00CD6098" w:rsidP="00037ACE">
      <w:pPr>
        <w:jc w:val="both"/>
        <w:rPr>
          <w:rFonts w:ascii="Times-Roman" w:hAnsi="Times-Roman" w:cs="Times-Roman"/>
          <w:sz w:val="18"/>
          <w:szCs w:val="18"/>
          <w:lang w:eastAsia="en-US"/>
        </w:rPr>
      </w:pPr>
    </w:p>
    <w:p w14:paraId="4667DAB9"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Todo lo dicho con respecto a la empresa, ha sido desarrollado de conformidad con las disposiciones contenidas en el Proyecto de Código de Comercio, salvo que se haya dicho otra cosa expresamente en cada uno de los puntos abordados. En la legislación vigente, como no se contempla el concepto moderno de empresa, no hay disposiciones aplicables a la materia.</w:t>
      </w:r>
    </w:p>
    <w:p w14:paraId="193ED4EF" w14:textId="77777777" w:rsidR="00CD6098" w:rsidRDefault="00CD6098" w:rsidP="00037ACE">
      <w:pPr>
        <w:jc w:val="both"/>
        <w:rPr>
          <w:rFonts w:ascii="Times-Roman" w:hAnsi="Times-Roman" w:cs="Times-Roman"/>
          <w:sz w:val="18"/>
          <w:szCs w:val="18"/>
          <w:lang w:eastAsia="en-US"/>
        </w:rPr>
      </w:pPr>
    </w:p>
    <w:p w14:paraId="1A7B939E" w14:textId="77777777" w:rsidR="00CD6098" w:rsidRPr="001321A8" w:rsidRDefault="00CD6098" w:rsidP="00037ACE">
      <w:pPr>
        <w:jc w:val="both"/>
        <w:rPr>
          <w:rFonts w:ascii="Times-Roman" w:hAnsi="Times-Roman" w:cs="Times-Roman"/>
          <w:b/>
          <w:sz w:val="19"/>
          <w:szCs w:val="19"/>
          <w:lang w:eastAsia="en-US"/>
        </w:rPr>
      </w:pPr>
      <w:r w:rsidRPr="001321A8">
        <w:rPr>
          <w:rFonts w:ascii="Helvetica" w:hAnsi="Helvetica" w:cs="Helvetica"/>
          <w:b/>
          <w:sz w:val="20"/>
          <w:szCs w:val="20"/>
          <w:lang w:eastAsia="en-US"/>
        </w:rPr>
        <w:t xml:space="preserve">3°) </w:t>
      </w:r>
      <w:r w:rsidRPr="001321A8">
        <w:rPr>
          <w:rFonts w:ascii="Times-Roman" w:hAnsi="Times-Roman" w:cs="Times-Roman"/>
          <w:b/>
          <w:sz w:val="19"/>
          <w:szCs w:val="19"/>
          <w:lang w:eastAsia="en-US"/>
        </w:rPr>
        <w:t>Los intangibles.</w:t>
      </w:r>
    </w:p>
    <w:p w14:paraId="11DAD01F" w14:textId="77777777" w:rsidR="00CD6098" w:rsidRDefault="00CD6098" w:rsidP="00037ACE">
      <w:pPr>
        <w:jc w:val="both"/>
        <w:rPr>
          <w:rFonts w:ascii="Times-Roman" w:hAnsi="Times-Roman" w:cs="Times-Roman"/>
          <w:sz w:val="19"/>
          <w:szCs w:val="19"/>
          <w:lang w:eastAsia="en-US"/>
        </w:rPr>
      </w:pPr>
    </w:p>
    <w:p w14:paraId="126EDFD3"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Al referirnos a los intangibles en el presente apartado, no se trata de explicar todos los elementos intangibles de la empresa, algunos de los cuales han sido ya expuestos en el apartado anterior. Se trata únicamente de aquéllos intangibles que pueden conservar su individualidad, aún separados de una empresa. Estos son los distintivos comerciales y las patentes.</w:t>
      </w:r>
    </w:p>
    <w:p w14:paraId="428D5BB9" w14:textId="77777777" w:rsidR="00CD6098" w:rsidRDefault="00CD6098" w:rsidP="00037ACE">
      <w:pPr>
        <w:jc w:val="both"/>
        <w:rPr>
          <w:rFonts w:ascii="Times-Roman" w:hAnsi="Times-Roman" w:cs="Times-Roman"/>
          <w:sz w:val="18"/>
          <w:szCs w:val="18"/>
          <w:lang w:eastAsia="en-US"/>
        </w:rPr>
      </w:pPr>
    </w:p>
    <w:p w14:paraId="44049948"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Este tipo de intangibles no se encuentran contemplados en el Código de Comercio vigente; pero están regulados actualmente en leyes especiales; tales son la ley de Patentes de Invención y la ley de Marcas de Fábrica. En el Proyecto de Código de Comercio, han sido contemplados en sus lineamientos generales; las disposiciones del Proyecto se completan con las contenidas en un proyecto de ley especial, elaborados para desarrollarlas, denominado ley de Propiedad Industrial y Comercial.</w:t>
      </w:r>
    </w:p>
    <w:p w14:paraId="7F792729" w14:textId="77777777" w:rsidR="00CD6098" w:rsidRDefault="00CD6098" w:rsidP="00037ACE">
      <w:pPr>
        <w:jc w:val="both"/>
        <w:rPr>
          <w:rFonts w:ascii="Times-Roman" w:hAnsi="Times-Roman" w:cs="Times-Roman"/>
          <w:sz w:val="18"/>
          <w:szCs w:val="18"/>
          <w:lang w:eastAsia="en-US"/>
        </w:rPr>
      </w:pPr>
    </w:p>
    <w:p w14:paraId="65E03F16" w14:textId="77777777" w:rsidR="00CD6098" w:rsidRDefault="001321A8" w:rsidP="00037ACE">
      <w:pPr>
        <w:jc w:val="both"/>
        <w:rPr>
          <w:rFonts w:ascii="Times-Roman" w:hAnsi="Times-Roman" w:cs="Times-Roman"/>
          <w:sz w:val="18"/>
          <w:szCs w:val="18"/>
          <w:lang w:eastAsia="en-US"/>
        </w:rPr>
      </w:pPr>
      <w:r>
        <w:rPr>
          <w:rFonts w:ascii="Times-Roman" w:hAnsi="Times-Roman" w:cs="Times-Roman"/>
          <w:sz w:val="18"/>
          <w:szCs w:val="18"/>
          <w:lang w:eastAsia="en-US"/>
        </w:rPr>
        <w:t>L</w:t>
      </w:r>
      <w:r w:rsidR="00CD6098">
        <w:rPr>
          <w:rFonts w:ascii="Times-Roman" w:hAnsi="Times-Roman" w:cs="Times-Roman"/>
          <w:sz w:val="18"/>
          <w:szCs w:val="18"/>
          <w:lang w:eastAsia="en-US"/>
        </w:rPr>
        <w:t>os distintivos comerciales son aquéllos que tienen por objeto identificar determinadas mercancías procedentes de una empresa, estribillos de propaganda de la misma o aún la propia empresa.</w:t>
      </w:r>
    </w:p>
    <w:p w14:paraId="66E11E1C" w14:textId="77777777" w:rsidR="00CD6098" w:rsidRDefault="00CD6098" w:rsidP="00037ACE">
      <w:pPr>
        <w:jc w:val="both"/>
        <w:rPr>
          <w:rFonts w:ascii="Times-Roman" w:hAnsi="Times-Roman" w:cs="Times-Roman"/>
          <w:sz w:val="18"/>
          <w:szCs w:val="18"/>
          <w:lang w:eastAsia="en-US"/>
        </w:rPr>
      </w:pPr>
    </w:p>
    <w:p w14:paraId="654D0052"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Son distintivos comerciales los siguientes:</w:t>
      </w:r>
    </w:p>
    <w:p w14:paraId="5612360F" w14:textId="77777777" w:rsidR="00CD6098" w:rsidRDefault="00CD6098" w:rsidP="00037ACE">
      <w:pPr>
        <w:jc w:val="both"/>
        <w:rPr>
          <w:rFonts w:ascii="Times-Roman" w:hAnsi="Times-Roman" w:cs="Times-Roman"/>
          <w:sz w:val="18"/>
          <w:szCs w:val="18"/>
          <w:lang w:eastAsia="en-US"/>
        </w:rPr>
      </w:pPr>
    </w:p>
    <w:p w14:paraId="13B0C959" w14:textId="77777777" w:rsidR="00CD6098" w:rsidRDefault="00CD6098" w:rsidP="00037ACE">
      <w:pPr>
        <w:jc w:val="both"/>
        <w:rPr>
          <w:rFonts w:ascii="Times-Roman" w:hAnsi="Times-Roman" w:cs="Times-Roman"/>
          <w:sz w:val="18"/>
          <w:szCs w:val="18"/>
          <w:lang w:eastAsia="en-US"/>
        </w:rPr>
      </w:pPr>
      <w:r>
        <w:rPr>
          <w:rFonts w:ascii="Times-Roman" w:hAnsi="Times-Roman" w:cs="Times-Roman"/>
          <w:sz w:val="19"/>
          <w:szCs w:val="19"/>
          <w:lang w:eastAsia="en-US"/>
        </w:rPr>
        <w:t xml:space="preserve">1º.- Marcas de Fábrica. </w:t>
      </w:r>
      <w:r>
        <w:rPr>
          <w:rFonts w:ascii="Times-Roman" w:hAnsi="Times-Roman" w:cs="Times-Roman"/>
          <w:sz w:val="18"/>
          <w:szCs w:val="18"/>
          <w:lang w:eastAsia="en-US"/>
        </w:rPr>
        <w:t>Amparan un producto determinado con relación a la empresa que lo fabrica; la marca de fábrica, en consecuencia, identifica a la vez el tipo de producto, calidad del mismo y procedencia de una empresa industrial. Por lo tanto, una empresa industrial determinada puede tener varias marcas de fábrica para un tipo de producto, si los artículos son de calidad diferentes.</w:t>
      </w:r>
    </w:p>
    <w:p w14:paraId="00292464" w14:textId="77777777" w:rsidR="00CD6098" w:rsidRDefault="00CD6098" w:rsidP="00037ACE">
      <w:pPr>
        <w:jc w:val="both"/>
        <w:rPr>
          <w:rFonts w:ascii="Times-Roman" w:hAnsi="Times-Roman" w:cs="Times-Roman"/>
          <w:sz w:val="18"/>
          <w:szCs w:val="18"/>
          <w:lang w:eastAsia="en-US"/>
        </w:rPr>
      </w:pPr>
    </w:p>
    <w:p w14:paraId="4565C7A0" w14:textId="77777777" w:rsidR="00CD6098" w:rsidRDefault="00CD6098" w:rsidP="00037ACE">
      <w:pPr>
        <w:jc w:val="both"/>
        <w:rPr>
          <w:rFonts w:ascii="Times-Roman" w:hAnsi="Times-Roman" w:cs="Times-Roman"/>
          <w:sz w:val="18"/>
          <w:szCs w:val="18"/>
          <w:lang w:eastAsia="en-US"/>
        </w:rPr>
      </w:pPr>
      <w:r>
        <w:rPr>
          <w:rFonts w:ascii="Times-Roman" w:hAnsi="Times-Roman" w:cs="Times-Roman"/>
          <w:sz w:val="19"/>
          <w:szCs w:val="19"/>
          <w:lang w:eastAsia="en-US"/>
        </w:rPr>
        <w:t xml:space="preserve">2º.- Marcas de Comercio. </w:t>
      </w:r>
      <w:r>
        <w:rPr>
          <w:rFonts w:ascii="Times-Roman" w:hAnsi="Times-Roman" w:cs="Times-Roman"/>
          <w:sz w:val="18"/>
          <w:szCs w:val="18"/>
          <w:lang w:eastAsia="en-US"/>
        </w:rPr>
        <w:t>Tienen la misma función que las marcas de fábrica, solamente que en relación con la empresa distribuidora y no con la producción; se denominan también marcas de distribuidor y deben ser usadas de tal manera que no oculten las marcas de fábrica.</w:t>
      </w:r>
    </w:p>
    <w:p w14:paraId="6CA820E9" w14:textId="77777777" w:rsidR="00CD6098" w:rsidRDefault="00CD6098" w:rsidP="00037ACE">
      <w:pPr>
        <w:jc w:val="both"/>
        <w:rPr>
          <w:rFonts w:ascii="Times-Roman" w:hAnsi="Times-Roman" w:cs="Times-Roman"/>
          <w:sz w:val="18"/>
          <w:szCs w:val="18"/>
          <w:lang w:eastAsia="en-US"/>
        </w:rPr>
      </w:pPr>
    </w:p>
    <w:p w14:paraId="0903866E" w14:textId="77777777" w:rsidR="00CD6098" w:rsidRDefault="00CD6098" w:rsidP="00037ACE">
      <w:pPr>
        <w:jc w:val="both"/>
        <w:rPr>
          <w:rFonts w:ascii="Times-Roman" w:hAnsi="Times-Roman" w:cs="Times-Roman"/>
          <w:sz w:val="18"/>
          <w:szCs w:val="18"/>
          <w:lang w:eastAsia="en-US"/>
        </w:rPr>
      </w:pPr>
      <w:r>
        <w:rPr>
          <w:rFonts w:ascii="Times-Roman" w:hAnsi="Times-Roman" w:cs="Times-Roman"/>
          <w:sz w:val="19"/>
          <w:szCs w:val="19"/>
          <w:lang w:eastAsia="en-US"/>
        </w:rPr>
        <w:t xml:space="preserve">3º.- Emblemas. </w:t>
      </w:r>
      <w:r>
        <w:rPr>
          <w:rFonts w:ascii="Times-Roman" w:hAnsi="Times-Roman" w:cs="Times-Roman"/>
          <w:sz w:val="18"/>
          <w:szCs w:val="18"/>
          <w:lang w:eastAsia="en-US"/>
        </w:rPr>
        <w:t>Son distintivos genéricos que no identifican tipos de artículos determinados, sino que sirven para ser usados en todos los artículos que produzca o distribuya una empresa dada e indican solamente procedencia de dicha empresa.</w:t>
      </w:r>
    </w:p>
    <w:p w14:paraId="6748E022" w14:textId="77777777" w:rsidR="00CD6098" w:rsidRDefault="00CD6098" w:rsidP="00037ACE">
      <w:pPr>
        <w:jc w:val="both"/>
        <w:rPr>
          <w:rFonts w:ascii="Times-Roman" w:hAnsi="Times-Roman" w:cs="Times-Roman"/>
          <w:sz w:val="18"/>
          <w:szCs w:val="18"/>
          <w:lang w:eastAsia="en-US"/>
        </w:rPr>
      </w:pPr>
    </w:p>
    <w:p w14:paraId="71CB5EB3" w14:textId="77777777" w:rsidR="00CD6098" w:rsidRDefault="00CD6098" w:rsidP="00037ACE">
      <w:pPr>
        <w:jc w:val="both"/>
        <w:rPr>
          <w:rFonts w:ascii="Times-Roman" w:hAnsi="Times-Roman" w:cs="Times-Roman"/>
          <w:sz w:val="18"/>
          <w:szCs w:val="18"/>
          <w:lang w:eastAsia="en-US"/>
        </w:rPr>
      </w:pPr>
      <w:r>
        <w:rPr>
          <w:rFonts w:ascii="Times-Roman" w:hAnsi="Times-Roman" w:cs="Times-Roman"/>
          <w:sz w:val="19"/>
          <w:szCs w:val="19"/>
          <w:lang w:eastAsia="en-US"/>
        </w:rPr>
        <w:t xml:space="preserve">4º.- Lemas. </w:t>
      </w:r>
      <w:r>
        <w:rPr>
          <w:rFonts w:ascii="Times-Roman" w:hAnsi="Times-Roman" w:cs="Times-Roman"/>
          <w:sz w:val="18"/>
          <w:szCs w:val="18"/>
          <w:lang w:eastAsia="en-US"/>
        </w:rPr>
        <w:t>Son estribillos de propaganda, cuyo registro garantiza a su propietario de que no pueden ser imitados por sus competidores.</w:t>
      </w:r>
    </w:p>
    <w:p w14:paraId="21FCFDE1" w14:textId="77777777" w:rsidR="00CD6098" w:rsidRDefault="00CD6098" w:rsidP="00037ACE">
      <w:pPr>
        <w:jc w:val="both"/>
        <w:rPr>
          <w:rFonts w:ascii="Times-Roman" w:hAnsi="Times-Roman" w:cs="Times-Roman"/>
          <w:sz w:val="18"/>
          <w:szCs w:val="18"/>
          <w:lang w:eastAsia="en-US"/>
        </w:rPr>
      </w:pPr>
    </w:p>
    <w:p w14:paraId="01A4562B" w14:textId="77777777" w:rsidR="00CD6098" w:rsidRDefault="00CD6098" w:rsidP="00037ACE">
      <w:pPr>
        <w:jc w:val="both"/>
        <w:rPr>
          <w:rFonts w:ascii="Times-Roman" w:hAnsi="Times-Roman" w:cs="Times-Roman"/>
          <w:sz w:val="18"/>
          <w:szCs w:val="18"/>
          <w:lang w:eastAsia="en-US"/>
        </w:rPr>
      </w:pPr>
      <w:r>
        <w:rPr>
          <w:rFonts w:ascii="Times-Roman" w:hAnsi="Times-Roman" w:cs="Times-Roman"/>
          <w:sz w:val="19"/>
          <w:szCs w:val="19"/>
          <w:lang w:eastAsia="en-US"/>
        </w:rPr>
        <w:t xml:space="preserve">5º.- Muestras. </w:t>
      </w:r>
      <w:r>
        <w:rPr>
          <w:rFonts w:ascii="Times-Roman" w:hAnsi="Times-Roman" w:cs="Times-Roman"/>
          <w:sz w:val="18"/>
          <w:szCs w:val="18"/>
          <w:lang w:eastAsia="en-US"/>
        </w:rPr>
        <w:t>Consisten en determinadas circunstancias que rodean a determinados artículos, como puede ser la forma de un jabón, la forma o color del envase, la viñeta del envoltorio y otros similares.</w:t>
      </w:r>
    </w:p>
    <w:p w14:paraId="188A504B" w14:textId="77777777" w:rsidR="00CD6098" w:rsidRDefault="00CD6098" w:rsidP="00037ACE">
      <w:pPr>
        <w:jc w:val="both"/>
        <w:rPr>
          <w:rFonts w:ascii="Times-Roman" w:hAnsi="Times-Roman" w:cs="Times-Roman"/>
          <w:sz w:val="18"/>
          <w:szCs w:val="18"/>
          <w:lang w:eastAsia="en-US"/>
        </w:rPr>
      </w:pPr>
    </w:p>
    <w:p w14:paraId="0D370838"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En forma similar a las marcas de fábrica o de comercio, pueden emplearse marcas para identificar productos agrícolas, las cuales se denominan marcas de agricultura y se rigen por las mismas reglas que las anteriores, aunque las actividades a que se aplican no son mercantiles.</w:t>
      </w:r>
    </w:p>
    <w:p w14:paraId="13430973" w14:textId="77777777" w:rsidR="00CD6098" w:rsidRDefault="00CD6098" w:rsidP="00037ACE">
      <w:pPr>
        <w:jc w:val="both"/>
        <w:rPr>
          <w:rFonts w:ascii="Times-Roman" w:hAnsi="Times-Roman" w:cs="Times-Roman"/>
          <w:sz w:val="18"/>
          <w:szCs w:val="18"/>
          <w:lang w:eastAsia="en-US"/>
        </w:rPr>
      </w:pPr>
    </w:p>
    <w:p w14:paraId="0DCE4C59"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Los tres primeros distintivos consisten en figuras y palabras; el color de las mismas puede o no ser parte integrante del distintivo, a voluntad de quien lo registre. No pueden usarse como distintivo:</w:t>
      </w:r>
    </w:p>
    <w:p w14:paraId="3E5399B5" w14:textId="77777777" w:rsidR="00CD6098" w:rsidRDefault="00CD6098" w:rsidP="00037ACE">
      <w:pPr>
        <w:jc w:val="both"/>
        <w:rPr>
          <w:rFonts w:ascii="Times-Roman" w:hAnsi="Times-Roman" w:cs="Times-Roman"/>
          <w:sz w:val="18"/>
          <w:szCs w:val="18"/>
          <w:lang w:eastAsia="en-US"/>
        </w:rPr>
      </w:pPr>
    </w:p>
    <w:p w14:paraId="283C8CC2"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1) Palabras o figuras obscenas.</w:t>
      </w:r>
    </w:p>
    <w:p w14:paraId="35F0C219" w14:textId="77777777" w:rsidR="00CD6098" w:rsidRDefault="00CD6098" w:rsidP="00037ACE">
      <w:pPr>
        <w:jc w:val="both"/>
        <w:rPr>
          <w:rFonts w:ascii="Times-Roman" w:hAnsi="Times-Roman" w:cs="Times-Roman"/>
          <w:sz w:val="18"/>
          <w:szCs w:val="18"/>
          <w:lang w:eastAsia="en-US"/>
        </w:rPr>
      </w:pPr>
    </w:p>
    <w:p w14:paraId="705307D4"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2) Nombres que, en castellano o en cualquier otro idioma, indiquen el artículo que trata de ampararse, su especie o calidad.</w:t>
      </w:r>
    </w:p>
    <w:p w14:paraId="3C604C8C" w14:textId="77777777" w:rsidR="00CD6098" w:rsidRDefault="00CD6098" w:rsidP="00037ACE">
      <w:pPr>
        <w:jc w:val="both"/>
        <w:rPr>
          <w:rFonts w:ascii="Times-Roman" w:hAnsi="Times-Roman" w:cs="Times-Roman"/>
          <w:sz w:val="18"/>
          <w:szCs w:val="18"/>
          <w:lang w:eastAsia="en-US"/>
        </w:rPr>
      </w:pPr>
    </w:p>
    <w:p w14:paraId="55656C80"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3) Escudos o emblemas de las diversas naciones, de los organismos internacionales o de los partidos políticos.</w:t>
      </w:r>
    </w:p>
    <w:p w14:paraId="2F005BF1" w14:textId="77777777" w:rsidR="00CD6098" w:rsidRDefault="00CD6098" w:rsidP="00037ACE">
      <w:pPr>
        <w:jc w:val="both"/>
        <w:rPr>
          <w:rFonts w:ascii="Times-Roman" w:hAnsi="Times-Roman" w:cs="Times-Roman"/>
          <w:sz w:val="18"/>
          <w:szCs w:val="18"/>
          <w:lang w:eastAsia="en-US"/>
        </w:rPr>
      </w:pPr>
    </w:p>
    <w:p w14:paraId="3BD4068A"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 xml:space="preserve">4) Figuras, palabras o combinaciones de unas y otras que, fonética o visualmente, pueden confundirse con distintivos usados para el mismo tipo de mercancías o por empresas con finalidades similares a la que trata de registrarlas. Para los efectos de la prohibición últimamente citada, las leyes especiales de la materia contienen una prolija clasificación de los distintos artículos que pueden ser objeto de comercio. </w:t>
      </w:r>
      <w:r w:rsidR="001321A8">
        <w:rPr>
          <w:rFonts w:ascii="Times-Roman" w:hAnsi="Times-Roman" w:cs="Times-Roman"/>
          <w:sz w:val="18"/>
          <w:szCs w:val="18"/>
          <w:lang w:eastAsia="en-US"/>
        </w:rPr>
        <w:t>La p</w:t>
      </w:r>
      <w:r>
        <w:rPr>
          <w:rFonts w:ascii="Times-Roman" w:hAnsi="Times-Roman" w:cs="Times-Roman"/>
          <w:sz w:val="18"/>
          <w:szCs w:val="18"/>
          <w:lang w:eastAsia="en-US"/>
        </w:rPr>
        <w:t>rohibición tiene lugar cuando los artículos amparados por ambos distintivos, el que trata de registrarse y el registrado con anterioridad, pertenecen a la misma clase.</w:t>
      </w:r>
    </w:p>
    <w:p w14:paraId="500BBBBE" w14:textId="77777777" w:rsidR="00CD6098" w:rsidRDefault="00CD6098" w:rsidP="00037ACE">
      <w:pPr>
        <w:jc w:val="both"/>
        <w:rPr>
          <w:rFonts w:ascii="Times-Roman" w:hAnsi="Times-Roman" w:cs="Times-Roman"/>
          <w:sz w:val="18"/>
          <w:szCs w:val="18"/>
          <w:lang w:eastAsia="en-US"/>
        </w:rPr>
      </w:pPr>
    </w:p>
    <w:p w14:paraId="6D2E392B"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El derecho al uso del distintivo, nace del registro del mismo; no puede alegarse el derecho a un distintivo solamente por el uso, si no ha sido objeto de registro. El registro se hace por un plazo determinado, entre nosotros 20 años; su vigencia está sujeta al pago de un impuesto anual que, en nuestro país, se paga por quinquenios o sea por lapsos de cinco años; no obstante, la persona que hace el registro puede anticipar el pago de uno o varios quinquenios.</w:t>
      </w:r>
      <w:r w:rsidR="001321A8">
        <w:rPr>
          <w:rFonts w:ascii="Times-Roman" w:hAnsi="Times-Roman" w:cs="Times-Roman"/>
          <w:sz w:val="18"/>
          <w:szCs w:val="18"/>
          <w:lang w:eastAsia="en-US"/>
        </w:rPr>
        <w:t xml:space="preserve"> La f</w:t>
      </w:r>
      <w:r>
        <w:rPr>
          <w:rFonts w:ascii="Times-Roman" w:hAnsi="Times-Roman" w:cs="Times-Roman"/>
          <w:sz w:val="18"/>
          <w:szCs w:val="18"/>
          <w:lang w:eastAsia="en-US"/>
        </w:rPr>
        <w:t>alta de pago del impuesto anual, dentro de los tres primeros meses de iniciación de un quinquenio, está penado con la caducidad del registro del distintivo.</w:t>
      </w:r>
    </w:p>
    <w:p w14:paraId="21541BF6" w14:textId="77777777" w:rsidR="00CD6098" w:rsidRDefault="00CD6098" w:rsidP="00037ACE">
      <w:pPr>
        <w:jc w:val="both"/>
        <w:rPr>
          <w:rFonts w:ascii="Times-Roman" w:hAnsi="Times-Roman" w:cs="Times-Roman"/>
          <w:sz w:val="18"/>
          <w:szCs w:val="18"/>
          <w:lang w:eastAsia="en-US"/>
        </w:rPr>
      </w:pPr>
    </w:p>
    <w:p w14:paraId="32C1713A"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 xml:space="preserve">Quien tiene registrado a su nombre un distintivo de comercio, tiene derecho a usarlo y a oponerse a que otro lo use. La forma de hacer efectivo este último derecho, no está reglamentado en la legislación vigente; en el Proyecto de Código de Comercio, se da acción al dueño del distintivo para impedir el ingreso al país de mercancías extranjeras amparadas por un distintivo igualo similar al suyo y para que se </w:t>
      </w:r>
      <w:r w:rsidR="000014DB">
        <w:rPr>
          <w:rFonts w:ascii="Times-Roman" w:hAnsi="Times-Roman" w:cs="Times-Roman"/>
          <w:sz w:val="18"/>
          <w:szCs w:val="18"/>
          <w:lang w:eastAsia="en-US"/>
        </w:rPr>
        <w:t>prohíba</w:t>
      </w:r>
      <w:r>
        <w:rPr>
          <w:rFonts w:ascii="Times-Roman" w:hAnsi="Times-Roman" w:cs="Times-Roman"/>
          <w:sz w:val="18"/>
          <w:szCs w:val="18"/>
          <w:lang w:eastAsia="en-US"/>
        </w:rPr>
        <w:t xml:space="preserve"> la fabricación dentro del país de mercancías en iguales condiciones; el uso de esta acción se encuentra reglamentado en el Proyecto. Desde luego, el dueño de un distintivo puede oponerse a que se registre un distintivo igual o similar al suyo, destinado a amparar mercancías de la misma clase, dentro de las diligencias de registro, las cuales se suspenden para dar lugar a que el asunto sea resuelto en los tribunales comunes.</w:t>
      </w:r>
    </w:p>
    <w:p w14:paraId="42219523" w14:textId="77777777" w:rsidR="00CD6098" w:rsidRDefault="00CD6098" w:rsidP="00037ACE">
      <w:pPr>
        <w:jc w:val="both"/>
        <w:rPr>
          <w:rFonts w:ascii="Times-Roman" w:hAnsi="Times-Roman" w:cs="Times-Roman"/>
          <w:sz w:val="18"/>
          <w:szCs w:val="18"/>
          <w:lang w:eastAsia="en-US"/>
        </w:rPr>
      </w:pPr>
    </w:p>
    <w:p w14:paraId="1D633C1B"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Se comete falsificación de un distintivo, no solamente por el hecho de imitarlo, sino por el de alterar el producto que ampara o el de usarlo sobre productos distintos del que originalmente estaba destinado a amparar; en todos estos casos, el dueño del distintivo objeto de la violación, tiene acción para impedir la falsificación y hacerse indemnizar por los perjuicios.</w:t>
      </w:r>
    </w:p>
    <w:p w14:paraId="030589DD" w14:textId="77777777" w:rsidR="00CD6098" w:rsidRDefault="00CD6098" w:rsidP="00037ACE">
      <w:pPr>
        <w:jc w:val="both"/>
        <w:rPr>
          <w:rFonts w:ascii="Times-Roman" w:hAnsi="Times-Roman" w:cs="Times-Roman"/>
          <w:sz w:val="18"/>
          <w:szCs w:val="18"/>
          <w:lang w:eastAsia="en-US"/>
        </w:rPr>
      </w:pPr>
    </w:p>
    <w:p w14:paraId="0686A3A7" w14:textId="77777777" w:rsidR="00CD6098" w:rsidRPr="001321A8" w:rsidRDefault="00CD6098" w:rsidP="00037ACE">
      <w:pPr>
        <w:jc w:val="both"/>
        <w:rPr>
          <w:rFonts w:ascii="Helvetica" w:hAnsi="Helvetica" w:cs="Helvetica"/>
          <w:sz w:val="19"/>
          <w:szCs w:val="19"/>
          <w:lang w:eastAsia="en-US"/>
        </w:rPr>
      </w:pPr>
      <w:r>
        <w:rPr>
          <w:rFonts w:ascii="Times-Roman" w:hAnsi="Times-Roman" w:cs="Times-Roman"/>
          <w:sz w:val="18"/>
          <w:szCs w:val="18"/>
          <w:lang w:eastAsia="en-US"/>
        </w:rPr>
        <w:t>En la legislación vigente, únicamente pueden registrarse las marcas de fábrica, de comercio y de agricultura, así como los nombres comerciales; en la práctica también han podido registrarse los emblemas, presentándolos como marcas genéricas, destinadas a amparar de manera general todos los productos que fabrica o distribuye una empresa determinada. En el Proyecto de Código de Comercio, se regula la existencia de todos los distintivos antes enumerados; la reglamentación de su registro está contenida en el Proyecto de Ley de Propiedad Industrial y Comercial, que desarrolla las disposiciones del Proyecto de Código de Comercio.</w:t>
      </w:r>
    </w:p>
    <w:p w14:paraId="7640F244" w14:textId="77777777" w:rsidR="00CD6098" w:rsidRDefault="00CD6098" w:rsidP="00037ACE">
      <w:pPr>
        <w:jc w:val="both"/>
        <w:rPr>
          <w:rFonts w:ascii="Times-Roman" w:hAnsi="Times-Roman" w:cs="Times-Roman"/>
          <w:sz w:val="18"/>
          <w:szCs w:val="18"/>
          <w:lang w:eastAsia="en-US"/>
        </w:rPr>
      </w:pPr>
    </w:p>
    <w:p w14:paraId="349B1F2B"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 xml:space="preserve">El derecho al uso de los distintivos, puede traspasarse. El traspaso puede ser total, o sea que el anterior dueño enajena enteramente sus derechos derivados del registro; en este caso, el traspaso se hace por escritura pública, la cual se inscribe en el mismo registro en que originalmente fueron registrados los distintivos. Puede también otorgar licencias de uso de los distintivos, a aquellos comerciantes a quienes concede el uso de sus procedimientos y secretos de fabricación; en este caso, se trata de una empresa matriz que autoriza a sus filiales o corresponsales a fabricar productos de la misma calidad y naturaleza que </w:t>
      </w:r>
      <w:r>
        <w:rPr>
          <w:rFonts w:ascii="Times-Roman" w:hAnsi="Times-Roman" w:cs="Times-Roman"/>
          <w:i/>
          <w:iCs/>
          <w:sz w:val="18"/>
          <w:szCs w:val="18"/>
          <w:lang w:eastAsia="en-US"/>
        </w:rPr>
        <w:t xml:space="preserve">los </w:t>
      </w:r>
      <w:r>
        <w:rPr>
          <w:rFonts w:ascii="Times-Roman" w:hAnsi="Times-Roman" w:cs="Times-Roman"/>
          <w:sz w:val="18"/>
          <w:szCs w:val="18"/>
          <w:lang w:eastAsia="en-US"/>
        </w:rPr>
        <w:t>suyos propios y a usar, para tales productos, iguales distintivos que los suyos; las licencias de uso no se encuentran reglamentadas en la legislación vigente; en el Proyecto de Código de Comercio, en combinación con el Proyecto de Ley de Propiedad Industrial y Comercial, se establece que pueden darse en las condiciones antes mencionadas y con iguales formalidades que el traspaso.</w:t>
      </w:r>
    </w:p>
    <w:p w14:paraId="3E0784B8" w14:textId="77777777" w:rsidR="00CD6098" w:rsidRDefault="00CD6098" w:rsidP="00037ACE">
      <w:pPr>
        <w:jc w:val="both"/>
        <w:rPr>
          <w:rFonts w:ascii="Times-Roman" w:hAnsi="Times-Roman" w:cs="Times-Roman"/>
          <w:sz w:val="18"/>
          <w:szCs w:val="18"/>
          <w:lang w:eastAsia="en-US"/>
        </w:rPr>
      </w:pPr>
    </w:p>
    <w:p w14:paraId="417B675A"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La propiedad de los distintivos supone su uso; un distintivo registrado que no se use, puede ser cancelado a petición de quien demuestre interés en ello.</w:t>
      </w:r>
    </w:p>
    <w:p w14:paraId="3638BFBD" w14:textId="77777777" w:rsidR="00CD6098" w:rsidRDefault="00CD6098" w:rsidP="00037ACE">
      <w:pPr>
        <w:jc w:val="both"/>
        <w:rPr>
          <w:rFonts w:ascii="Times-Roman" w:hAnsi="Times-Roman" w:cs="Times-Roman"/>
          <w:sz w:val="18"/>
          <w:szCs w:val="18"/>
          <w:lang w:eastAsia="en-US"/>
        </w:rPr>
      </w:pPr>
    </w:p>
    <w:p w14:paraId="3A20798C"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Actualmente, el registro de los distintivos que pueden registrarse se hace en la Oficina de Patentes, Marcas de Fábrica y Propiedad Literaria, dependiente del Ministerio de Justicia; al estructurarse el Registro de Comercio, en la forma prevista en el Proyecto de Código de Comercio, la mencionada oficina pasará a formar parte del mismo.</w:t>
      </w:r>
    </w:p>
    <w:p w14:paraId="0AE3B911" w14:textId="77777777" w:rsidR="00CD6098" w:rsidRDefault="00CD6098" w:rsidP="00037ACE">
      <w:pPr>
        <w:jc w:val="both"/>
        <w:rPr>
          <w:rFonts w:ascii="Times-Roman" w:hAnsi="Times-Roman" w:cs="Times-Roman"/>
          <w:sz w:val="18"/>
          <w:szCs w:val="18"/>
          <w:lang w:eastAsia="en-US"/>
        </w:rPr>
      </w:pPr>
    </w:p>
    <w:p w14:paraId="5D3F8668"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La patente de invención es una concesión dada por el Estado, a quien ha realizado un invento o perfeccionado un invento ajeno, a fin de explotar exclusivamente el invento o el perfeccionamiento, durante el lapso para el cual ha sido otorgada.</w:t>
      </w:r>
    </w:p>
    <w:p w14:paraId="69143DB0" w14:textId="77777777" w:rsidR="00CD6098" w:rsidRDefault="00CD6098" w:rsidP="00037ACE">
      <w:pPr>
        <w:jc w:val="both"/>
        <w:rPr>
          <w:rFonts w:ascii="Times-Roman" w:hAnsi="Times-Roman" w:cs="Times-Roman"/>
          <w:sz w:val="18"/>
          <w:szCs w:val="18"/>
          <w:lang w:eastAsia="en-US"/>
        </w:rPr>
      </w:pPr>
    </w:p>
    <w:p w14:paraId="488F7715"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El derecho a la patente nace de la invención; tiene como fundamento el acto creador del individuo, en cuya virtud se realiza el invento o perfeccionamiento, lo que lo hace acreedor a gozar de las ventajas que su invención implica; pero, todo acto creador supone la utilización de una serie de conocimientos que constituyen el acervo común de toda la humanidad; por eso, la concesión de la patente se limita a un período determinado, en realidad el inventor crea algo, pero su creación no sería posible si no aprovechara experiencias anteriores que no han sido suyas, sino de una infinidad de personas que le han precedido en el tiempo; por eso, al expirar el plazo de la patente, la invención cae en el dominio público y viene a engrosar ese acervo común de toda la humanidad.</w:t>
      </w:r>
    </w:p>
    <w:p w14:paraId="42D83AEB" w14:textId="77777777" w:rsidR="00CD6098" w:rsidRDefault="00CD6098" w:rsidP="00037ACE">
      <w:pPr>
        <w:jc w:val="both"/>
        <w:rPr>
          <w:rFonts w:ascii="Times-Roman" w:hAnsi="Times-Roman" w:cs="Times-Roman"/>
          <w:sz w:val="18"/>
          <w:szCs w:val="18"/>
          <w:lang w:eastAsia="en-US"/>
        </w:rPr>
      </w:pPr>
    </w:p>
    <w:p w14:paraId="7C591E7C"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Para que un determinado procedimiento, dibujo, aparato o cualquiera otra cosa similar, sea patentable, es indispensable: 1) Que constituya una invención, ya sea en su totalidad o ya sea en cuanto perfeccione una invención anterior de otra persona; esto es, que haya aporte original de quien trata de patentarlo; si el que trata de patentar un invento lo ha copiado de otra persona, comete un plagio; si el objeto de la patente estaba ya patentado por otro en otra parte, puede que sea subjetivamente un invento, si el pretendido inventor no lo conocía, pero esto no es suficiente para darle derecho a la patente; es necesario que sea objetivamente un invento, es decir, que sea enteramente original, que se trate de un procedimiento o artículo nuevo, esto es que no se haya producido otro igual con anterioridad. 2) Que el invento sea comercialmente aprovechable; la creación puede ser muy original y a la vez muy meritoria, pero si no es comercialmente aprovechable no puede ser objeto de patente, porque este tipo de concesión tiene por objeto asegurar de manera exclusiva a su inventor, el aprovechamiento comercial de su creación.</w:t>
      </w:r>
    </w:p>
    <w:p w14:paraId="01F38871" w14:textId="77777777" w:rsidR="00CD6098" w:rsidRDefault="00CD6098" w:rsidP="00037ACE">
      <w:pPr>
        <w:jc w:val="both"/>
        <w:rPr>
          <w:rFonts w:ascii="Times-Roman" w:hAnsi="Times-Roman" w:cs="Times-Roman"/>
          <w:sz w:val="18"/>
          <w:szCs w:val="18"/>
          <w:lang w:eastAsia="en-US"/>
        </w:rPr>
      </w:pPr>
    </w:p>
    <w:p w14:paraId="76C6013B" w14:textId="77777777" w:rsidR="001321A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 xml:space="preserve">Pueden clasificarse las patentes </w:t>
      </w:r>
      <w:r w:rsidR="001321A8">
        <w:rPr>
          <w:rFonts w:ascii="Times-Roman" w:hAnsi="Times-Roman" w:cs="Times-Roman"/>
          <w:sz w:val="18"/>
          <w:szCs w:val="18"/>
          <w:lang w:eastAsia="en-US"/>
        </w:rPr>
        <w:t>desde dos puntos de vista, así:</w:t>
      </w:r>
    </w:p>
    <w:p w14:paraId="252A3EC1" w14:textId="77777777" w:rsidR="001321A8" w:rsidRDefault="001321A8" w:rsidP="00037ACE">
      <w:pPr>
        <w:jc w:val="both"/>
        <w:rPr>
          <w:rFonts w:ascii="Times-Roman" w:hAnsi="Times-Roman" w:cs="Times-Roman"/>
          <w:sz w:val="18"/>
          <w:szCs w:val="18"/>
          <w:lang w:eastAsia="en-US"/>
        </w:rPr>
      </w:pPr>
    </w:p>
    <w:p w14:paraId="60B64881" w14:textId="77777777" w:rsidR="001321A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1) Desde el punto de vista de la cre</w:t>
      </w:r>
      <w:r w:rsidR="001321A8">
        <w:rPr>
          <w:rFonts w:ascii="Times-Roman" w:hAnsi="Times-Roman" w:cs="Times-Roman"/>
          <w:sz w:val="18"/>
          <w:szCs w:val="18"/>
          <w:lang w:eastAsia="en-US"/>
        </w:rPr>
        <w:t>ación que es objeto de patente.</w:t>
      </w:r>
    </w:p>
    <w:p w14:paraId="4C086743"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2) Desde el punto de vista de los efectos de la patente.</w:t>
      </w:r>
    </w:p>
    <w:p w14:paraId="796E4C7A" w14:textId="77777777" w:rsidR="00CD6098" w:rsidRDefault="00CD6098" w:rsidP="00037ACE">
      <w:pPr>
        <w:jc w:val="both"/>
        <w:rPr>
          <w:rFonts w:ascii="Times-Roman" w:hAnsi="Times-Roman" w:cs="Times-Roman"/>
          <w:sz w:val="18"/>
          <w:szCs w:val="18"/>
          <w:lang w:eastAsia="en-US"/>
        </w:rPr>
      </w:pPr>
    </w:p>
    <w:p w14:paraId="1778EE0B" w14:textId="77777777" w:rsidR="001321A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Desde el punto de vista de la creación que es objeto de pa</w:t>
      </w:r>
      <w:r w:rsidR="001321A8">
        <w:rPr>
          <w:rFonts w:ascii="Times-Roman" w:hAnsi="Times-Roman" w:cs="Times-Roman"/>
          <w:sz w:val="18"/>
          <w:szCs w:val="18"/>
          <w:lang w:eastAsia="en-US"/>
        </w:rPr>
        <w:t>tente; éstas se clasifican así:</w:t>
      </w:r>
    </w:p>
    <w:p w14:paraId="1550CA14" w14:textId="77777777" w:rsidR="001321A8" w:rsidRDefault="001321A8" w:rsidP="00037ACE">
      <w:pPr>
        <w:jc w:val="both"/>
        <w:rPr>
          <w:rFonts w:ascii="Times-Roman" w:hAnsi="Times-Roman" w:cs="Times-Roman"/>
          <w:sz w:val="18"/>
          <w:szCs w:val="18"/>
          <w:lang w:eastAsia="en-US"/>
        </w:rPr>
      </w:pPr>
    </w:p>
    <w:p w14:paraId="57652FF0" w14:textId="77777777" w:rsidR="001321A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1) Patente de invención, cuyo uso exclusivo no supone el aprov</w:t>
      </w:r>
      <w:r w:rsidR="001321A8">
        <w:rPr>
          <w:rFonts w:ascii="Times-Roman" w:hAnsi="Times-Roman" w:cs="Times-Roman"/>
          <w:sz w:val="18"/>
          <w:szCs w:val="18"/>
          <w:lang w:eastAsia="en-US"/>
        </w:rPr>
        <w:t>echamiento de un invento ajeno.</w:t>
      </w:r>
    </w:p>
    <w:p w14:paraId="5FECFFC0"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2) Patentes de perfeccionamiento que, por referirse a un procedimiento o dispositivo que perfecciona un invento anterior ya existente, solamente pueden aprovecharse usando el invento que se ha perfeccionado.</w:t>
      </w:r>
    </w:p>
    <w:p w14:paraId="221C425E" w14:textId="77777777" w:rsidR="00CD6098" w:rsidRDefault="00CD6098" w:rsidP="00037ACE">
      <w:pPr>
        <w:jc w:val="both"/>
        <w:rPr>
          <w:rFonts w:ascii="Times-Roman" w:hAnsi="Times-Roman" w:cs="Times-Roman"/>
          <w:sz w:val="18"/>
          <w:szCs w:val="18"/>
          <w:lang w:eastAsia="en-US"/>
        </w:rPr>
      </w:pPr>
    </w:p>
    <w:p w14:paraId="312ACCEB" w14:textId="77777777" w:rsidR="001321A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Desde el punto de vista de los efectos que la pa</w:t>
      </w:r>
      <w:r w:rsidR="001321A8">
        <w:rPr>
          <w:rFonts w:ascii="Times-Roman" w:hAnsi="Times-Roman" w:cs="Times-Roman"/>
          <w:sz w:val="18"/>
          <w:szCs w:val="18"/>
          <w:lang w:eastAsia="en-US"/>
        </w:rPr>
        <w:t>tente causa, se clasifican así:</w:t>
      </w:r>
    </w:p>
    <w:p w14:paraId="520412C2" w14:textId="77777777" w:rsidR="001321A8" w:rsidRDefault="001321A8" w:rsidP="00037ACE">
      <w:pPr>
        <w:jc w:val="both"/>
        <w:rPr>
          <w:rFonts w:ascii="Times-Roman" w:hAnsi="Times-Roman" w:cs="Times-Roman"/>
          <w:sz w:val="18"/>
          <w:szCs w:val="18"/>
          <w:lang w:eastAsia="en-US"/>
        </w:rPr>
      </w:pPr>
    </w:p>
    <w:p w14:paraId="01508FF2" w14:textId="77777777" w:rsidR="001321A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1) Patentes definitivas, que son aquéllas que causan todos sus efectos, para e</w:t>
      </w:r>
      <w:r w:rsidR="001321A8">
        <w:rPr>
          <w:rFonts w:ascii="Times-Roman" w:hAnsi="Times-Roman" w:cs="Times-Roman"/>
          <w:sz w:val="18"/>
          <w:szCs w:val="18"/>
          <w:lang w:eastAsia="en-US"/>
        </w:rPr>
        <w:t>l tiempo que fueron concedidas.</w:t>
      </w:r>
    </w:p>
    <w:p w14:paraId="0AAEE6DF"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2) Patentes precaucionales, que son aquéllas que tienen por objeto proteger provisionalmente los derechos de alguien que se pretende inventor, para mientras realiza las investigaciones necesarias a fin de concretar su invento; la patente se concede por un año, renovable una vez solamente.</w:t>
      </w:r>
    </w:p>
    <w:p w14:paraId="72DBB614" w14:textId="77777777" w:rsidR="00CD6098" w:rsidRDefault="00CD6098" w:rsidP="00037ACE">
      <w:pPr>
        <w:jc w:val="both"/>
        <w:rPr>
          <w:rFonts w:ascii="Times-Roman" w:hAnsi="Times-Roman" w:cs="Times-Roman"/>
          <w:sz w:val="18"/>
          <w:szCs w:val="18"/>
          <w:lang w:eastAsia="en-US"/>
        </w:rPr>
      </w:pPr>
    </w:p>
    <w:p w14:paraId="71E50407"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 xml:space="preserve">Quien sea dueño de una patente definitiva, sea de invención </w:t>
      </w:r>
      <w:r>
        <w:rPr>
          <w:rFonts w:ascii="Times-Roman" w:hAnsi="Times-Roman" w:cs="Times-Roman"/>
          <w:sz w:val="19"/>
          <w:szCs w:val="19"/>
          <w:lang w:eastAsia="en-US"/>
        </w:rPr>
        <w:t xml:space="preserve">o </w:t>
      </w:r>
      <w:r>
        <w:rPr>
          <w:rFonts w:ascii="Times-Roman" w:hAnsi="Times-Roman" w:cs="Times-Roman"/>
          <w:sz w:val="18"/>
          <w:szCs w:val="18"/>
          <w:lang w:eastAsia="en-US"/>
        </w:rPr>
        <w:t>de perfeccionamiento, tiene derecho a explotar el invento patentado por toda la duración de la patente y a impedir que sea explotado por otras personas, salvo las licencias de explotación voluntarias u obligatorias, que conceda. Entre nosotros, las patentes, se conceden a 10, 15 Y 20 años, según lo solicite el inventor.</w:t>
      </w:r>
    </w:p>
    <w:p w14:paraId="79D87235" w14:textId="77777777" w:rsidR="00CD6098" w:rsidRDefault="00CD6098" w:rsidP="00037ACE">
      <w:pPr>
        <w:jc w:val="both"/>
        <w:rPr>
          <w:rFonts w:ascii="Times-Roman" w:hAnsi="Times-Roman" w:cs="Times-Roman"/>
          <w:sz w:val="18"/>
          <w:szCs w:val="18"/>
          <w:lang w:eastAsia="en-US"/>
        </w:rPr>
      </w:pPr>
    </w:p>
    <w:p w14:paraId="7FA24A38"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El derecho nacido de la invención, que es el fundamento de la patente puede traspasarse por el inventor aun antes de haber obtenido la patente; en este caso, el causahabiente o causahabientes del inventor pueden patentar el invento; la cesión de los derechos puede ser por causa de muerte o entre vivos, siguiendo en ambos casos las reglas generales.</w:t>
      </w:r>
    </w:p>
    <w:p w14:paraId="10064700" w14:textId="77777777" w:rsidR="00CD6098" w:rsidRDefault="00CD6098" w:rsidP="00037ACE">
      <w:pPr>
        <w:jc w:val="both"/>
        <w:rPr>
          <w:rFonts w:ascii="Times-Roman" w:hAnsi="Times-Roman" w:cs="Times-Roman"/>
          <w:sz w:val="18"/>
          <w:szCs w:val="18"/>
          <w:lang w:eastAsia="en-US"/>
        </w:rPr>
      </w:pPr>
    </w:p>
    <w:p w14:paraId="5BDE79D4"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No obstante que el derecho de la patente nace de la invención, es indispensable registrarlo, porque el registro sirve para darle la protección legal.</w:t>
      </w:r>
    </w:p>
    <w:p w14:paraId="00F4A804" w14:textId="77777777" w:rsidR="00CD6098" w:rsidRDefault="00CD6098" w:rsidP="00037ACE">
      <w:pPr>
        <w:jc w:val="both"/>
        <w:rPr>
          <w:rFonts w:ascii="Times-Roman" w:hAnsi="Times-Roman" w:cs="Times-Roman"/>
          <w:sz w:val="18"/>
          <w:szCs w:val="18"/>
          <w:lang w:eastAsia="en-US"/>
        </w:rPr>
      </w:pPr>
    </w:p>
    <w:p w14:paraId="44DE4771"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Quien solicite el registro de patente, deberá acompañar a su solicitud descripción detallada del invento, generalmente con los planos, dibujos, maquetas, y demás esquemas necesarios para su debida comprensión; la solicitud se publicará en extracto, hecho en tal forma que permita conocer en qué consiste el invento, pero que no dé lugar a deducir los secretos del sistema empleado, a fin de no perjudicar al inventor; el objeto de la publicación es que cualquier persona, que pueda objetar la originalidad del invento, tenga oportunidad de hacerlo. Previa la investigación correspondiente, se concederá o negará la patente solicitada. Si la investigación debiera prolongarse, en algún caso especial, el inventor podrá protegerse con una patente precaucional, para mientras pueda expedirse la patente definitiva que ha solicitado. Actualmente, la oficina encargada de la expedición de patentes, es la misma que se encarga de registrar los distintivos comerciales; de igual manera, en el Proyecto de Código de Comercio, se trasladan estas facultades al Registro de Comercio.</w:t>
      </w:r>
    </w:p>
    <w:p w14:paraId="1E67976A" w14:textId="77777777" w:rsidR="00CD6098" w:rsidRDefault="00CD6098" w:rsidP="00037ACE">
      <w:pPr>
        <w:jc w:val="both"/>
        <w:rPr>
          <w:rFonts w:ascii="Times-Roman" w:hAnsi="Times-Roman" w:cs="Times-Roman"/>
          <w:sz w:val="18"/>
          <w:szCs w:val="18"/>
          <w:lang w:eastAsia="en-US"/>
        </w:rPr>
      </w:pPr>
    </w:p>
    <w:p w14:paraId="072888E4"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La persona que goza de una patente, puede expedir licencia de explotación de su invento a favor de otras personas, en cuyo caso la relación del patentado y el explotador se regirá de acuerdo al contrato que hayan celebrado. Además, puede obligársele a expedir licencia obligatoria de explotación en los siguientes casos: a) Si dejare transcurrir tres años sin explotar el invento patentado; en este caso, la licencia obligatoria procede porque la patente es un medio de asegurar al inventor las ventajas económicas de su invento y no un medio de permitir que, por carecer de medios suficientes para explotarlo personalmente, impida que el invento beneficie a la generalidad. b) Cuando la licencia sea solicitada por quien sea dueño de una patente de perfeccionamiento en relación con la patente original que ampara el invento que se ha perfeccionado; en este caso, la licencia obligatoria es el único medio que tiene el perfeccionador de explotar las ventajas de su perfeccionamiento; en estos casos, la patente de perfeccionamiento deberá ser expedida únicamente por el plazo que faltare para que el invento original caiga en el dominio público.</w:t>
      </w:r>
    </w:p>
    <w:p w14:paraId="39183BF7" w14:textId="77777777" w:rsidR="00CD6098" w:rsidRDefault="00CD6098" w:rsidP="00037ACE">
      <w:pPr>
        <w:jc w:val="both"/>
        <w:rPr>
          <w:rFonts w:ascii="Times-Roman" w:hAnsi="Times-Roman" w:cs="Times-Roman"/>
          <w:sz w:val="18"/>
          <w:szCs w:val="18"/>
          <w:lang w:eastAsia="en-US"/>
        </w:rPr>
      </w:pPr>
    </w:p>
    <w:p w14:paraId="71C141DA"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El hecho de que la licencia sea obligatoria, no priva al patentado de su derecho económico de gozar de las ventajas de su propio invento; en estos casos, el mismo tribunal que ordena la licencia, determinará la remuneración que debe pagarse al inventor. Las licencias, sean voluntarias u obligatorias, no privan al inventor del derecho de explotar personalmente su invento ni de conceder otras licencias.</w:t>
      </w:r>
    </w:p>
    <w:p w14:paraId="1E084135" w14:textId="77777777" w:rsidR="00CD6098" w:rsidRDefault="00CD6098" w:rsidP="00037ACE">
      <w:pPr>
        <w:jc w:val="both"/>
        <w:rPr>
          <w:rFonts w:ascii="Times-Roman" w:hAnsi="Times-Roman" w:cs="Times-Roman"/>
          <w:sz w:val="18"/>
          <w:szCs w:val="18"/>
          <w:lang w:eastAsia="en-US"/>
        </w:rPr>
      </w:pPr>
    </w:p>
    <w:p w14:paraId="3DBA4F38"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En la legislación vigente no hay nada regulado en relación con las licencias; desde luego, las licencias voluntarias pueden concederse de acuerdo con las reglas generales que rigen en materia de contratación. La regulación que antes se ha indicado, es la contenida en el Proyecto de Código de Comercio.</w:t>
      </w:r>
    </w:p>
    <w:p w14:paraId="2F7DDD54" w14:textId="77777777" w:rsidR="00CD6098" w:rsidRDefault="00CD6098" w:rsidP="00037ACE">
      <w:pPr>
        <w:jc w:val="both"/>
        <w:rPr>
          <w:rFonts w:ascii="Times-Roman" w:hAnsi="Times-Roman" w:cs="Times-Roman"/>
          <w:sz w:val="18"/>
          <w:szCs w:val="18"/>
          <w:lang w:eastAsia="en-US"/>
        </w:rPr>
      </w:pPr>
    </w:p>
    <w:p w14:paraId="0AA0AC05"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Desde luego, las licencias obligatorias se revocarán, cuando caiga en el dominio público la patente respecto de la cual se ha dado licencia de explotación.</w:t>
      </w:r>
    </w:p>
    <w:p w14:paraId="50F400C0" w14:textId="77777777" w:rsidR="00CD6098" w:rsidRDefault="00CD6098" w:rsidP="00037ACE">
      <w:pPr>
        <w:jc w:val="both"/>
        <w:rPr>
          <w:rFonts w:ascii="Times-Roman" w:hAnsi="Times-Roman" w:cs="Times-Roman"/>
          <w:sz w:val="18"/>
          <w:szCs w:val="18"/>
          <w:lang w:eastAsia="en-US"/>
        </w:rPr>
      </w:pPr>
    </w:p>
    <w:p w14:paraId="3BCDA3C9"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También se revocarán las licencias obligatorias, que se hayan dado en vista de que el titular no explota el invento patentado respectivo, cuando éste solicita la revocación y demuestra que lo ha explotado durante dos años; porque ha cesado la causa de su procedencia.</w:t>
      </w:r>
    </w:p>
    <w:p w14:paraId="5B112E49" w14:textId="77777777" w:rsidR="00CD6098" w:rsidRDefault="00CD6098" w:rsidP="00037ACE">
      <w:pPr>
        <w:jc w:val="both"/>
        <w:rPr>
          <w:rFonts w:ascii="Times-Roman" w:hAnsi="Times-Roman" w:cs="Times-Roman"/>
          <w:sz w:val="18"/>
          <w:szCs w:val="18"/>
          <w:lang w:eastAsia="en-US"/>
        </w:rPr>
      </w:pPr>
    </w:p>
    <w:p w14:paraId="3D297F4F"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En vista de que la patente es el premio a la creación y que supone la originalidad del invento patentado, la concesión podrá revocarse no obstante haberse registrado, si se demuestra la falta de originalidad del invento a que se refiere. Con objeto de asegurar la operancia de este principio, en el Proyecto de Código de Comercio, se sujeta a las patentes concedidas a un examen de novedad periódica que será practicado por el Registrador de Comercio, de oficio o a petición de parte.</w:t>
      </w:r>
    </w:p>
    <w:p w14:paraId="7C05DCE7" w14:textId="77777777" w:rsidR="00CD6098" w:rsidRDefault="00CD6098" w:rsidP="00037ACE">
      <w:pPr>
        <w:jc w:val="both"/>
        <w:rPr>
          <w:rFonts w:ascii="Times-Roman" w:hAnsi="Times-Roman" w:cs="Times-Roman"/>
          <w:sz w:val="18"/>
          <w:szCs w:val="18"/>
          <w:lang w:eastAsia="en-US"/>
        </w:rPr>
      </w:pPr>
    </w:p>
    <w:p w14:paraId="07F876A5"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Finalmente, es conveniente abordar un problema de fondo en relación a las patentes. Se ha objetado por distintos autores que la concesión de la patente es una vinculación, por cuanto excluye del comercio durante el plazo de su vigencia el invento patentado; también se</w:t>
      </w:r>
      <w:r w:rsidR="001321A8">
        <w:rPr>
          <w:rFonts w:ascii="Times-Roman" w:hAnsi="Times-Roman" w:cs="Times-Roman"/>
          <w:sz w:val="18"/>
          <w:szCs w:val="18"/>
          <w:lang w:eastAsia="en-US"/>
        </w:rPr>
        <w:t xml:space="preserve"> ha </w:t>
      </w:r>
      <w:r>
        <w:rPr>
          <w:rFonts w:ascii="Times-Roman" w:hAnsi="Times-Roman" w:cs="Times-Roman"/>
          <w:sz w:val="18"/>
          <w:szCs w:val="18"/>
          <w:lang w:eastAsia="en-US"/>
        </w:rPr>
        <w:t>dicho que constituye un privilegio a favor del inventor. Al respecto cabe la consideración de que el acto creador merece un premio, el cual es de justicia y a la vez de conveniencia, desde luego que la sociedad se beneficia con el invento, desde que comienza a explotarse y, en mayor medida, cuando caiga en el dominio público; no es vinculación, desde luego que no impide la explotación comercial del invento por el patentado, ni es obstáculo para que éste conceda licencias; si tal cosa fuera cierta, toda propiedad sería una vinculación. Desde luego, es una ventaja a favor del inventor, pero que encuentra su justificación en el acto de creación; no puede considerarse como un privilegio, desde luego que todas las personas pueden ser potencialmente inventoras, todo estriba en que tengan la preparación suficiente y pongan el trabajo necesario para ello.</w:t>
      </w:r>
    </w:p>
    <w:p w14:paraId="61EC3AA2" w14:textId="77777777" w:rsidR="00CD6098" w:rsidRDefault="00CD6098" w:rsidP="00037ACE">
      <w:pPr>
        <w:jc w:val="both"/>
        <w:rPr>
          <w:rFonts w:ascii="Times-Roman" w:hAnsi="Times-Roman" w:cs="Times-Roman"/>
          <w:sz w:val="18"/>
          <w:szCs w:val="18"/>
          <w:lang w:eastAsia="en-US"/>
        </w:rPr>
      </w:pPr>
    </w:p>
    <w:p w14:paraId="3E923683"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Finalmente, como un medio de proteger los derechos de quien trabaja, en el Proyecto de Código de Comercio, se ha establecido que quien inventa algo, en el desarrollo de servicios prestados a otra persona, conserva la propiedad de su invento y debe de ser remunerado por lo que merece, independientemente de su salario u honorarios, en una medida nunca inferior al 20% del valor comercial del invento. Desde luego, esta disposición no tendrá aplicación si se tratara de alguien contratado específicamente en calidad de investigador con objeto de inventar procedimientos nuevos; en tal caso, es propio estipular la remuneración adecuada a servicios que consistirían específicamente en la realización de invenciones, pero es forzoso admitir que esta situación no se presenta con frecuencia en la práctica, por lo menos, en nuestro medio.</w:t>
      </w:r>
    </w:p>
    <w:p w14:paraId="0A421B61" w14:textId="77777777" w:rsidR="00CD6098" w:rsidRDefault="00CD6098" w:rsidP="00037ACE">
      <w:pPr>
        <w:jc w:val="both"/>
        <w:rPr>
          <w:rFonts w:ascii="Times-Roman" w:hAnsi="Times-Roman" w:cs="Times-Roman"/>
          <w:sz w:val="18"/>
          <w:szCs w:val="18"/>
          <w:lang w:eastAsia="en-US"/>
        </w:rPr>
      </w:pPr>
    </w:p>
    <w:p w14:paraId="25211F46" w14:textId="77777777" w:rsidR="00CD6098" w:rsidRDefault="00CD6098" w:rsidP="00037ACE">
      <w:pPr>
        <w:jc w:val="both"/>
        <w:rPr>
          <w:rFonts w:ascii="Times-Roman" w:hAnsi="Times-Roman" w:cs="Times-Roman"/>
          <w:b/>
          <w:bCs/>
          <w:sz w:val="20"/>
          <w:szCs w:val="20"/>
          <w:lang w:eastAsia="en-US"/>
        </w:rPr>
      </w:pPr>
      <w:r>
        <w:rPr>
          <w:rFonts w:ascii="Times-Roman" w:hAnsi="Times-Roman" w:cs="Times-Roman"/>
          <w:b/>
          <w:bCs/>
          <w:sz w:val="20"/>
          <w:szCs w:val="20"/>
          <w:lang w:eastAsia="en-US"/>
        </w:rPr>
        <w:t>4°) La empresa individual de responsabilidad limitada.</w:t>
      </w:r>
    </w:p>
    <w:p w14:paraId="02B97B67" w14:textId="77777777" w:rsidR="00CD6098" w:rsidRDefault="00CD6098" w:rsidP="00037ACE">
      <w:pPr>
        <w:jc w:val="both"/>
        <w:rPr>
          <w:rFonts w:ascii="Times-Roman" w:hAnsi="Times-Roman" w:cs="Times-Roman"/>
          <w:b/>
          <w:bCs/>
          <w:sz w:val="20"/>
          <w:szCs w:val="20"/>
          <w:lang w:eastAsia="en-US"/>
        </w:rPr>
      </w:pPr>
    </w:p>
    <w:p w14:paraId="20BFD006"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Tal como se ha dicho anteriormente, la empresa es una cosa mercantil por medio de la cual su titular ejerce el comercio; el ejercicio de la actividad que constituye la finalidad de la empresa, implica que su titular contraiga una serie de obligaciones. Normalmente, la responsabilidad del titular se rige por las reglas generales, o sea que responde por ellas con todo su patrimonio; por eso, podemos decir que la regla general en materia de empresa, es que éstas son de responsabilidad ilimitada.</w:t>
      </w:r>
    </w:p>
    <w:p w14:paraId="799C3318" w14:textId="77777777" w:rsidR="00CD6098" w:rsidRDefault="00CD6098" w:rsidP="00037ACE">
      <w:pPr>
        <w:jc w:val="both"/>
        <w:rPr>
          <w:rFonts w:ascii="Times-Roman" w:hAnsi="Times-Roman" w:cs="Times-Roman"/>
          <w:sz w:val="18"/>
          <w:szCs w:val="18"/>
          <w:lang w:eastAsia="en-US"/>
        </w:rPr>
      </w:pPr>
    </w:p>
    <w:p w14:paraId="78612A68"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 xml:space="preserve">No obstante ello, es posible limitar la responsabilidad del titular por las obligaciones que contraiga en el giro mercantil de la empresa. Este tipo de empresa se denomina empresa individual de responsabilidad limitada, en el Proyecto de Código de Comercio; en la legislación vigente no está prevista. </w:t>
      </w:r>
      <w:r w:rsidR="001321A8">
        <w:rPr>
          <w:rFonts w:ascii="Times-Roman" w:hAnsi="Times-Roman" w:cs="Times-Roman"/>
          <w:sz w:val="18"/>
          <w:szCs w:val="18"/>
          <w:lang w:eastAsia="en-US"/>
        </w:rPr>
        <w:t>La f</w:t>
      </w:r>
      <w:r>
        <w:rPr>
          <w:rFonts w:ascii="Times-Roman" w:hAnsi="Times-Roman" w:cs="Times-Roman"/>
          <w:sz w:val="18"/>
          <w:szCs w:val="18"/>
          <w:lang w:eastAsia="en-US"/>
        </w:rPr>
        <w:t xml:space="preserve">igura existe en algunas legislaciones extranjeras muy avanzadas; en la legislación de Liechtenstein aparece contemplada con este nombre; en la legislación alemana, la figura tiene lineamientos similares a los del Proyecto de Código de Comercio Salvadoreño, pero se conoce con el nombre de "patrimonio de afectación". Por lo demás, tiene amplios antecedentes doctrinarios en una cantidad de autores de Derecho Mercantil que la han defendido, entre los cuales figuran mercantilistas de fama continental, como el mejicano Cervantes Ahumada y el argentino </w:t>
      </w:r>
      <w:r w:rsidR="000014DB">
        <w:rPr>
          <w:rFonts w:ascii="Times-Roman" w:hAnsi="Times-Roman" w:cs="Times-Roman"/>
          <w:sz w:val="18"/>
          <w:szCs w:val="18"/>
          <w:lang w:eastAsia="en-US"/>
        </w:rPr>
        <w:t>Pérez</w:t>
      </w:r>
      <w:r>
        <w:rPr>
          <w:rFonts w:ascii="Times-Roman" w:hAnsi="Times-Roman" w:cs="Times-Roman"/>
          <w:sz w:val="18"/>
          <w:szCs w:val="18"/>
          <w:lang w:eastAsia="en-US"/>
        </w:rPr>
        <w:t xml:space="preserve"> fontana.</w:t>
      </w:r>
    </w:p>
    <w:p w14:paraId="42A4E060" w14:textId="77777777" w:rsidR="00CD6098" w:rsidRDefault="00CD6098" w:rsidP="00037ACE">
      <w:pPr>
        <w:jc w:val="both"/>
        <w:rPr>
          <w:rFonts w:ascii="Times-Roman" w:hAnsi="Times-Roman" w:cs="Times-Roman"/>
          <w:sz w:val="18"/>
          <w:szCs w:val="18"/>
          <w:lang w:eastAsia="en-US"/>
        </w:rPr>
      </w:pPr>
    </w:p>
    <w:p w14:paraId="4A40A1CF"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 xml:space="preserve">La Comisión redactora del Proyecto de Código de Comercio tuvo a la vista, para redactar el capítulo respectivo, un </w:t>
      </w:r>
      <w:r w:rsidR="000014DB">
        <w:rPr>
          <w:rFonts w:ascii="Times-Roman" w:hAnsi="Times-Roman" w:cs="Times-Roman"/>
          <w:sz w:val="18"/>
          <w:szCs w:val="18"/>
          <w:lang w:eastAsia="en-US"/>
        </w:rPr>
        <w:t>memorándum</w:t>
      </w:r>
      <w:r>
        <w:rPr>
          <w:rFonts w:ascii="Times-Roman" w:hAnsi="Times-Roman" w:cs="Times-Roman"/>
          <w:sz w:val="18"/>
          <w:szCs w:val="18"/>
          <w:lang w:eastAsia="en-US"/>
        </w:rPr>
        <w:t xml:space="preserve"> de Cervantes Ahumada, destinado a señalar las bases de un capítulo similar propuesto para el Proyecto de Código de Comercio mexicano.</w:t>
      </w:r>
    </w:p>
    <w:p w14:paraId="2C8C615C" w14:textId="77777777" w:rsidR="00CD6098" w:rsidRDefault="00CD6098" w:rsidP="00037ACE">
      <w:pPr>
        <w:jc w:val="both"/>
        <w:rPr>
          <w:rFonts w:ascii="Times-Roman" w:hAnsi="Times-Roman" w:cs="Times-Roman"/>
          <w:sz w:val="18"/>
          <w:szCs w:val="18"/>
          <w:lang w:eastAsia="en-US"/>
        </w:rPr>
      </w:pPr>
    </w:p>
    <w:p w14:paraId="207FD420"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Los principios en que se basa esta figura jurídica, son dos: el de la limitación de la responsabilidad y el de la división del patrimonio. Vamos a analizarlos.</w:t>
      </w:r>
    </w:p>
    <w:p w14:paraId="62F990F6" w14:textId="77777777" w:rsidR="00CD6098" w:rsidRDefault="00CD6098" w:rsidP="00037ACE">
      <w:pPr>
        <w:jc w:val="both"/>
        <w:rPr>
          <w:rFonts w:ascii="Times-Roman" w:hAnsi="Times-Roman" w:cs="Times-Roman"/>
          <w:sz w:val="18"/>
          <w:szCs w:val="18"/>
          <w:lang w:eastAsia="en-US"/>
        </w:rPr>
      </w:pPr>
    </w:p>
    <w:p w14:paraId="1B3B1632"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La limitación de la responsabilidad ha sido perseguida por todos los comerciantes, en todos los tiempos y en todos los climas. Dentro de las figuras sociales, ha funcionado ampliamente este principio; la sociedad anónima en todos los países de derecho escrito, sin excluir el nuestro, es una sociedad de responsabilidad limitada, en la cual la única garantía que tienen los acreedores es el valor del patrimonio social; igual cosa sucede con la llamada sociedad de responsabilidad limitada, es decir, con la sociedad de personas que admite esta modalidad, solamente que su introducción en los países de derecho escrito es mucho más reciente; entre nosotros, no funciona aún, pero desde luego que ha funcionado con anterioridad la sociedad anónima, el antecedente no pierde validez, porque, en cuanto a la limitación de la responsabilidad se refiere, no existe diferencia alguna.</w:t>
      </w:r>
    </w:p>
    <w:p w14:paraId="44CF3410" w14:textId="77777777" w:rsidR="00CD6098" w:rsidRDefault="00CD6098" w:rsidP="00037ACE">
      <w:pPr>
        <w:jc w:val="both"/>
        <w:rPr>
          <w:rFonts w:ascii="Times-Roman" w:hAnsi="Times-Roman" w:cs="Times-Roman"/>
          <w:sz w:val="18"/>
          <w:szCs w:val="18"/>
          <w:lang w:eastAsia="en-US"/>
        </w:rPr>
      </w:pPr>
    </w:p>
    <w:p w14:paraId="5C0D109E"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Desde luego, es necesario someter a la empresa individual de responsabilidad limitada a las mismas normas de vigilancia y control que rigen para las sociedades mencionadas; pero sometida a tales disposiciones, no representa ningún riesgo adicional, desde luego que la garantía de los acreedores será siempre su patrimonio, cuya cuantía no será diferente por el simple hecho de que pertenezca a una sociedad o a una persona natural. El principio de limitación de la responsabilidad no es, pues, ninguna novedad; la novedad estriba únicamente en trasladar su aplicación al campo del comerciante individual.</w:t>
      </w:r>
    </w:p>
    <w:p w14:paraId="7C43702F" w14:textId="77777777" w:rsidR="00CD6098" w:rsidRDefault="00CD6098" w:rsidP="00037ACE">
      <w:pPr>
        <w:jc w:val="both"/>
        <w:rPr>
          <w:rFonts w:ascii="Times-Roman" w:hAnsi="Times-Roman" w:cs="Times-Roman"/>
          <w:sz w:val="18"/>
          <w:szCs w:val="18"/>
          <w:lang w:eastAsia="en-US"/>
        </w:rPr>
      </w:pPr>
    </w:p>
    <w:p w14:paraId="4233C5C4"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El principio de división del patrimonio tampoco es nuevo; podemos encontrar antecedentes de dicho principio, en la legislación civil. En materia de sucesiones se admite el beneficio de inventario dado a favor de los herederos de un difunto, que les permita pagar las deudas hereditarias hasta el límite de lo heredado; también se admite el beneficio de separación a favor de los acreedores hereditarios, que les permita cobrar sus créditos en los bienes de la sucesión con preferencia a los acreedores personales de los herederos. En ambos casos, hay una verdadera división del patrimonio; desde luego que los bienes heredados no pueden considerarse ya como pertenecientes al difunto, puesto que ningún muerto puede ser propietario de bienes; estos bienes ingresan al patrimonio del heredero, desde el momento en que la herencia ha sido aceptada; pero la ley permite dividir este patrimonio, para los efectos de la responsabilidad por las deudas hereditarias, en dos partes: los bienes heredados y los bienes pertenecientes al heredero por causas diferentes de la herencia. Al crear la figura, se ha hecho una división similar, solamente que para un objetivo diferente; el patrimonio del titular de la empresa de responsabilidad limitada, se divide en dos partes, así: a) los bienes adscritos a la empresa individual de responsabilidad limitada, los cuales responden de las obligaciones contraídas por el titular, en el giro mercantil de la misma. b) los bienes que no han sido adscritos a la mencionada empresa, los cuales responden de las obligaciones del titular contraídas fuera del giro mercantil de ella.</w:t>
      </w:r>
    </w:p>
    <w:p w14:paraId="5736D26F" w14:textId="77777777" w:rsidR="00CD6098" w:rsidRDefault="00CD6098" w:rsidP="00037ACE">
      <w:pPr>
        <w:jc w:val="both"/>
        <w:rPr>
          <w:rFonts w:ascii="Times-Roman" w:hAnsi="Times-Roman" w:cs="Times-Roman"/>
          <w:sz w:val="18"/>
          <w:szCs w:val="18"/>
          <w:lang w:eastAsia="en-US"/>
        </w:rPr>
      </w:pPr>
    </w:p>
    <w:p w14:paraId="6D33CB2E"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Algunos estudiosos del derecho encuentran dificultad de dividir el patrimonio del titular, por cuanto ambas partes pertenecen a la misma persona; consideran que la solución estaría en conceder personalidad jurídica a la empresa individual de responsabilidad limitada.</w:t>
      </w:r>
    </w:p>
    <w:p w14:paraId="7706A243" w14:textId="77777777" w:rsidR="00CD6098" w:rsidRDefault="00CD6098" w:rsidP="00037ACE">
      <w:pPr>
        <w:jc w:val="both"/>
        <w:rPr>
          <w:rFonts w:ascii="Times-Roman" w:hAnsi="Times-Roman" w:cs="Times-Roman"/>
          <w:sz w:val="18"/>
          <w:szCs w:val="18"/>
          <w:lang w:eastAsia="en-US"/>
        </w:rPr>
      </w:pPr>
    </w:p>
    <w:p w14:paraId="548BDC99"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Tal solución no es necesaria; desde luego que cuando se invoca el beneficio de inventario, no se concede personalidad jurídica a la sucesión y sin embargo opera sin dificultad la división del patrimonio; lo que es necesario es contar con un inventario en el cual figuren los bienes que se adscriben a la empresa individual de responsabilidad limitada, con objeto de determinar la garantía de los acreedores, así como cuales son las cosas que éstos puedan perseguir; todo ello a fin de que quien contrate con el titular, en el giro mercantil de dicha empresa, tenga medios de informarse sobre los límites de su garantía, en los mismos términos que cuando contrata con una sociedad anónima o con una sociedad de responsabilidad limitada.</w:t>
      </w:r>
    </w:p>
    <w:p w14:paraId="149AC7F4" w14:textId="77777777" w:rsidR="00CD6098" w:rsidRDefault="00CD6098" w:rsidP="00037ACE">
      <w:pPr>
        <w:jc w:val="both"/>
        <w:rPr>
          <w:rFonts w:ascii="Times-Roman" w:hAnsi="Times-Roman" w:cs="Times-Roman"/>
          <w:sz w:val="18"/>
          <w:szCs w:val="18"/>
          <w:lang w:eastAsia="en-US"/>
        </w:rPr>
      </w:pPr>
    </w:p>
    <w:p w14:paraId="10F5A479"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la reglamentación que se dio en el Proyecto de Código de Comercio, a esta nueva figura que por primera vez se introduce en nuestro Derecho, obedece a la necesidad de proteger los intereses del público, en iguales términos en que se protege en los casos ya conocidos de limitación de la responsabilidad, como es el de la sociedad anónima.</w:t>
      </w:r>
    </w:p>
    <w:p w14:paraId="3AB37EB7" w14:textId="77777777" w:rsidR="00CD6098" w:rsidRDefault="00CD6098" w:rsidP="00037ACE">
      <w:pPr>
        <w:jc w:val="both"/>
        <w:rPr>
          <w:rFonts w:ascii="Times-Roman" w:hAnsi="Times-Roman" w:cs="Times-Roman"/>
          <w:sz w:val="18"/>
          <w:szCs w:val="18"/>
          <w:lang w:eastAsia="en-US"/>
        </w:rPr>
      </w:pPr>
    </w:p>
    <w:p w14:paraId="1310F445" w14:textId="77777777" w:rsidR="001321A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 xml:space="preserve">Cuando se constituye por primera vez una empresa de responsabilidad limitada, será necesario hacer inventario de todos los bienes que van a adscribirse para responder por las obligaciones que contraiga el titular, en el giro mercantil de ésta; en dicho inventario deberán aparecer los bienes con los respectivos valúas que se les asigne. El mencionado inventario debidamente certificado por el auditor, deberá de ser sometido a conocimiento de la oficina que ejerce la vigilancia del Estado para su debida aprobación, la cual se dará después de haberlo comprobado mediante peritos de la oficina, los cuales valuarán los bienes que aparecen en el documento. los bienes que se adscriben para constituir el capital inicial de la empresa, quedarán </w:t>
      </w:r>
      <w:r w:rsidR="001321A8">
        <w:rPr>
          <w:rFonts w:ascii="Times-Roman" w:hAnsi="Times-Roman" w:cs="Times-Roman"/>
          <w:sz w:val="18"/>
          <w:szCs w:val="18"/>
          <w:lang w:eastAsia="en-US"/>
        </w:rPr>
        <w:t>valuados en la siguiente forma:</w:t>
      </w:r>
    </w:p>
    <w:p w14:paraId="0C77C0FA" w14:textId="77777777" w:rsidR="001321A8" w:rsidRDefault="001321A8" w:rsidP="00037ACE">
      <w:pPr>
        <w:jc w:val="both"/>
        <w:rPr>
          <w:rFonts w:ascii="Times-Roman" w:hAnsi="Times-Roman" w:cs="Times-Roman"/>
          <w:sz w:val="18"/>
          <w:szCs w:val="18"/>
          <w:lang w:eastAsia="en-US"/>
        </w:rPr>
      </w:pPr>
    </w:p>
    <w:p w14:paraId="6932FC5A" w14:textId="77777777" w:rsidR="001321A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1) las acciones de las sociedades de capitales, por su valor contable o real; en la primera parte de este trabajo se ha expli</w:t>
      </w:r>
      <w:r w:rsidR="001321A8">
        <w:rPr>
          <w:rFonts w:ascii="Times-Roman" w:hAnsi="Times-Roman" w:cs="Times-Roman"/>
          <w:sz w:val="18"/>
          <w:szCs w:val="18"/>
          <w:lang w:eastAsia="en-US"/>
        </w:rPr>
        <w:t>cado en que consiste ese valúo.</w:t>
      </w:r>
    </w:p>
    <w:p w14:paraId="6407F81D"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2) los demás bienes, de acuerdo con el valúo que hayan dado a cada uno de ellos los peritos de la oficina que ejerce la vigilancia del Estado.</w:t>
      </w:r>
    </w:p>
    <w:p w14:paraId="20C64E33" w14:textId="77777777" w:rsidR="00CD6098" w:rsidRDefault="00CD6098" w:rsidP="00037ACE">
      <w:pPr>
        <w:jc w:val="both"/>
        <w:rPr>
          <w:rFonts w:ascii="Times-Roman" w:hAnsi="Times-Roman" w:cs="Times-Roman"/>
          <w:sz w:val="18"/>
          <w:szCs w:val="18"/>
          <w:lang w:eastAsia="en-US"/>
        </w:rPr>
      </w:pPr>
    </w:p>
    <w:p w14:paraId="72B2AFF3" w14:textId="77777777" w:rsidR="001321A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 xml:space="preserve">Aprobado el inventario, el titular deberá otorgar una escritura pública en que crea la empresa y le adscribe los bienes que constituyen su patrimonio inicial. En dicha escritura </w:t>
      </w:r>
      <w:r w:rsidR="001321A8">
        <w:rPr>
          <w:rFonts w:ascii="Times-Roman" w:hAnsi="Times-Roman" w:cs="Times-Roman"/>
          <w:sz w:val="18"/>
          <w:szCs w:val="18"/>
          <w:lang w:eastAsia="en-US"/>
        </w:rPr>
        <w:t>constarán los siguientes datos:</w:t>
      </w:r>
    </w:p>
    <w:p w14:paraId="4C14EAAC" w14:textId="77777777" w:rsidR="001321A8" w:rsidRDefault="001321A8" w:rsidP="00037ACE">
      <w:pPr>
        <w:jc w:val="both"/>
        <w:rPr>
          <w:rFonts w:ascii="Times-Roman" w:hAnsi="Times-Roman" w:cs="Times-Roman"/>
          <w:sz w:val="18"/>
          <w:szCs w:val="18"/>
          <w:lang w:eastAsia="en-US"/>
        </w:rPr>
      </w:pPr>
    </w:p>
    <w:p w14:paraId="597BA9D1" w14:textId="77777777" w:rsidR="00CD6098" w:rsidRDefault="001321A8" w:rsidP="00037ACE">
      <w:pPr>
        <w:jc w:val="both"/>
        <w:rPr>
          <w:rFonts w:ascii="Times-Roman" w:hAnsi="Times-Roman" w:cs="Times-Roman"/>
          <w:sz w:val="18"/>
          <w:szCs w:val="18"/>
          <w:lang w:eastAsia="en-US"/>
        </w:rPr>
      </w:pPr>
      <w:r>
        <w:rPr>
          <w:rFonts w:ascii="Times-Roman" w:hAnsi="Times-Roman" w:cs="Times-Roman"/>
          <w:sz w:val="18"/>
          <w:szCs w:val="18"/>
          <w:lang w:eastAsia="en-US"/>
        </w:rPr>
        <w:t>I</w:t>
      </w:r>
      <w:r w:rsidR="00CD6098">
        <w:rPr>
          <w:rFonts w:ascii="Times-Roman" w:hAnsi="Times-Roman" w:cs="Times-Roman"/>
          <w:sz w:val="18"/>
          <w:szCs w:val="18"/>
          <w:lang w:eastAsia="en-US"/>
        </w:rPr>
        <w:t>) Nombre y generales del titular que la suscribe, como otorgante, en la forma exigida por la ley del Notariado.</w:t>
      </w:r>
    </w:p>
    <w:p w14:paraId="782E8EE3" w14:textId="77777777" w:rsidR="00CD6098" w:rsidRDefault="00CD6098" w:rsidP="00037ACE">
      <w:pPr>
        <w:jc w:val="both"/>
        <w:rPr>
          <w:rFonts w:ascii="Times-Roman" w:hAnsi="Times-Roman" w:cs="Times-Roman"/>
          <w:sz w:val="18"/>
          <w:szCs w:val="18"/>
          <w:lang w:eastAsia="en-US"/>
        </w:rPr>
      </w:pPr>
    </w:p>
    <w:p w14:paraId="2D2CA41C"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 xml:space="preserve">II) Nombre y denominación de la empresa; el nombre puede ser el del titular; la denominación se forma libremente bajo las mismas reglas dadas en el Proyecto de Código de Comercio para la denominación de las sociedades anónimas; ambos deberán ir seguidos de las palabras "Empresa de Responsabilidad Limitada", o sus siglas: "E. de R. </w:t>
      </w:r>
      <w:r>
        <w:rPr>
          <w:rFonts w:ascii="Times-Roman" w:hAnsi="Times-Roman" w:cs="Times-Roman"/>
          <w:sz w:val="20"/>
          <w:szCs w:val="20"/>
          <w:lang w:eastAsia="en-US"/>
        </w:rPr>
        <w:t xml:space="preserve">L."; </w:t>
      </w:r>
      <w:r>
        <w:rPr>
          <w:rFonts w:ascii="Times-Roman" w:hAnsi="Times-Roman" w:cs="Times-Roman"/>
          <w:sz w:val="18"/>
          <w:szCs w:val="18"/>
          <w:lang w:eastAsia="en-US"/>
        </w:rPr>
        <w:t>el objeto de estas palabras es que las personas que contratan con la empresa sepan de antemano, que únicamente responde por sus créditos, el patrimonio adscrito a la misma, por lo que, deberán informarse de antemano sobre su cuantía, antes de contratar; en consecuencia, si se omiten estas palabras de manera general, la limitación de la responsabilidad no opera; si se omiten en una negociación determinada, la limitación de responsabilidad únicamente deja de operar en este caso.</w:t>
      </w:r>
    </w:p>
    <w:p w14:paraId="24A09393" w14:textId="77777777" w:rsidR="00CD6098" w:rsidRDefault="00CD6098" w:rsidP="00037ACE">
      <w:pPr>
        <w:jc w:val="both"/>
        <w:rPr>
          <w:rFonts w:ascii="Times-Roman" w:hAnsi="Times-Roman" w:cs="Times-Roman"/>
          <w:sz w:val="18"/>
          <w:szCs w:val="18"/>
          <w:lang w:eastAsia="en-US"/>
        </w:rPr>
      </w:pPr>
    </w:p>
    <w:p w14:paraId="3F4A3A3B"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III) Su finalidad, o sea el tipo de negocio a que va a dedicarse. La finalidad es indispensable en este caso, porque como la limitación de la responsabilidad sólo opera en las negociaciones hechas por el titular a través de la empresa en cuestión; si no constare tal finalidad, no se podría comprobar que estas negociaciones quedan incluidas dentro de la mencionada finalidad.</w:t>
      </w:r>
    </w:p>
    <w:p w14:paraId="1DA8BC62" w14:textId="77777777" w:rsidR="00CD6098" w:rsidRDefault="00CD6098" w:rsidP="00037ACE">
      <w:pPr>
        <w:jc w:val="both"/>
        <w:rPr>
          <w:rFonts w:ascii="Times-Roman" w:hAnsi="Times-Roman" w:cs="Times-Roman"/>
          <w:sz w:val="18"/>
          <w:szCs w:val="18"/>
          <w:lang w:eastAsia="en-US"/>
        </w:rPr>
      </w:pPr>
    </w:p>
    <w:p w14:paraId="6D4FB1FF"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IV) Su domicilio, el cual debe considerarse como domicilio especial del titular, señalado para todas las obligaciones contraídas en el giro mercantil de la empresa.</w:t>
      </w:r>
    </w:p>
    <w:p w14:paraId="256C7EE5" w14:textId="77777777" w:rsidR="00CD6098" w:rsidRDefault="00CD6098" w:rsidP="00037ACE">
      <w:pPr>
        <w:jc w:val="both"/>
        <w:rPr>
          <w:rFonts w:ascii="Times-Roman" w:hAnsi="Times-Roman" w:cs="Times-Roman"/>
          <w:sz w:val="18"/>
          <w:szCs w:val="18"/>
          <w:lang w:eastAsia="en-US"/>
        </w:rPr>
      </w:pPr>
    </w:p>
    <w:p w14:paraId="4E4CE963"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V) El importe del capital inicial de la empresa; debiendo constar en la escritura el inventario practicado para determinarlo, así como la circunstancia de haber sido aprobado por la oficina que ejerce la vigilancia del Estado. Las cantidades de dinero que figuren en el inventario en efectivo, deberán depositarse en una institución bancaria y comprobarse el depósito con el certificado respectivo, como una garantía más dada al público sobre la existencia de los fondos. Los títulosvalores que hayan sufrido algún procedimiento de cancelación o de reivindicación, no podrán adscribirse para formar parte del capital de la empresa, porque no ofrecen garantía de seguridad suficiente; más adelante se explicará en que consisten tales procedimientos; por la misma razón tampoco pueden adscribirse aquellos créditos considerados de dudosa solvencia, por la oficina que ejerce la vigilancia del Estado.</w:t>
      </w:r>
    </w:p>
    <w:p w14:paraId="77A25EC4" w14:textId="77777777" w:rsidR="00CD6098" w:rsidRDefault="00CD6098" w:rsidP="00037ACE">
      <w:pPr>
        <w:jc w:val="both"/>
        <w:rPr>
          <w:rFonts w:ascii="Times-Roman" w:hAnsi="Times-Roman" w:cs="Times-Roman"/>
          <w:sz w:val="18"/>
          <w:szCs w:val="18"/>
          <w:lang w:eastAsia="en-US"/>
        </w:rPr>
      </w:pPr>
    </w:p>
    <w:p w14:paraId="2B1A834F"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VI) Las disposiciones referentes a reservas y, en caso de acordarlas, a las cuotas suplementarias de garantía; las reservas funcionan bajo las mismas reglas que se han indicado en la primera parte de este trabajo para las acumulaciones similares de las sociedades de responsabilidad limitada. Las cuotas suplementarias de garantía se explican a continuación.</w:t>
      </w:r>
    </w:p>
    <w:p w14:paraId="332C3C26" w14:textId="77777777" w:rsidR="00CD6098" w:rsidRDefault="00CD6098" w:rsidP="00037ACE">
      <w:pPr>
        <w:jc w:val="both"/>
        <w:rPr>
          <w:rFonts w:ascii="Times-Roman" w:hAnsi="Times-Roman" w:cs="Times-Roman"/>
          <w:sz w:val="18"/>
          <w:szCs w:val="18"/>
          <w:lang w:eastAsia="en-US"/>
        </w:rPr>
      </w:pPr>
    </w:p>
    <w:p w14:paraId="430C5E76"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De acuerdo con el mismo principio que se ha observado en las sociedades de responsabilidad limitada, el capital adscrito a responder por las obligaciones contraídas en este tipo de empresas, no puede ser inferior a un mínimo determinado por ley; en el Proyecto de Código de Comercio, el capital mínimo se fijó en diez mil colones.</w:t>
      </w:r>
    </w:p>
    <w:p w14:paraId="4C90BAD8" w14:textId="77777777" w:rsidR="00CD6098" w:rsidRDefault="00CD6098" w:rsidP="00037ACE">
      <w:pPr>
        <w:jc w:val="both"/>
        <w:rPr>
          <w:rFonts w:ascii="Times-Roman" w:hAnsi="Times-Roman" w:cs="Times-Roman"/>
          <w:sz w:val="18"/>
          <w:szCs w:val="18"/>
          <w:lang w:eastAsia="en-US"/>
        </w:rPr>
      </w:pPr>
    </w:p>
    <w:p w14:paraId="675CD279"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Si se tratara de convertir en empresa individual de responsabilidad limitada, una empresa que ha funcionado con anterioridad de acuerdo con las reglas generales, se observarán los mismos trámites antes indicados solamente que en el inventario deberán aparecer el activo y el pasivo de la empresa, siendo su capital inicial la diferencia de ambos, por lo que dicha diferencia no podrá ser menor de diez mil colones, como requisito indispensable para que pueda realizarse la conversión.</w:t>
      </w:r>
    </w:p>
    <w:p w14:paraId="6F035C46" w14:textId="77777777" w:rsidR="00CD6098" w:rsidRDefault="00CD6098" w:rsidP="00037ACE">
      <w:pPr>
        <w:jc w:val="both"/>
        <w:rPr>
          <w:rFonts w:ascii="Times-Roman" w:hAnsi="Times-Roman" w:cs="Times-Roman"/>
          <w:sz w:val="18"/>
          <w:szCs w:val="18"/>
          <w:lang w:eastAsia="en-US"/>
        </w:rPr>
      </w:pPr>
    </w:p>
    <w:p w14:paraId="6EF7CDFB"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Durante su vigencia, la empresa individual de responsabilidad limitada funcionará con sujeción a las reglas de vigilancia y control dadas, en el Proyecto de Código de Comercio, para las sociedades de responsabilidad limitada y para las sociedades anónimas. En consecuencia, deberá publicar sus balances de fin de ejercicio y remitirlos al Registro de Comercio; estará sujeta a la vigilancia interna de un auditor, nombrado por el titular y, además a la vigilancia del Estado, por medio de la misma oficina que la ejerce para las mencionadas sociedades. El titular podrá disponer de las utilidades que produzca la empresa, al final del ejercicio y siempre que el balance las arroje; con ellas deberá establecer las mismas reservas obligatorias que las sociedades antes mencionadas; en iguales términos, podrá establecer las reservas voluntarias que crea conveniente y retirar el remanente que resultare; o sea que el titular podrá tomar todas las disposiciones que la Junta General de Accionistas pueda tomar en relación con las utilidades en una sociedad anónima.</w:t>
      </w:r>
    </w:p>
    <w:p w14:paraId="33A60D65" w14:textId="77777777" w:rsidR="00CD6098" w:rsidRDefault="00CD6098" w:rsidP="00037ACE">
      <w:pPr>
        <w:jc w:val="both"/>
        <w:rPr>
          <w:rFonts w:ascii="Times-Roman" w:hAnsi="Times-Roman" w:cs="Times-Roman"/>
          <w:sz w:val="18"/>
          <w:szCs w:val="18"/>
          <w:lang w:eastAsia="en-US"/>
        </w:rPr>
      </w:pPr>
    </w:p>
    <w:p w14:paraId="045CB53C"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El capital adscrito a la empresa individual de responsabilidad limitada, puede aumentarse o disminuirse. Si se aumenta, la decisión del titular debe ser aprobada por la oficina que ejerce la vigilancia del Estado y formalizarse el aumento mediante los mismos requisitos que se exigen para la constitución original. Si se disminuye, la disminución se hará con sujeción a las formalidades previstas para la disminución del capital social de las sociedades de capitales, en lo que fueren aplicables; no podrá efectuarse la disminución, si como resultado de la misma, el capital quedare reducido a menos del mínimo legal, o sea a menos de diez mil colones.</w:t>
      </w:r>
    </w:p>
    <w:p w14:paraId="73A17498" w14:textId="77777777" w:rsidR="00CD6098" w:rsidRDefault="00CD6098" w:rsidP="00037ACE">
      <w:pPr>
        <w:jc w:val="both"/>
        <w:rPr>
          <w:rFonts w:ascii="Times-Roman" w:hAnsi="Times-Roman" w:cs="Times-Roman"/>
          <w:sz w:val="18"/>
          <w:szCs w:val="18"/>
          <w:lang w:eastAsia="en-US"/>
        </w:rPr>
      </w:pPr>
    </w:p>
    <w:p w14:paraId="1402D518"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 xml:space="preserve">Con objeto de aumentar la responsabilidad económica de su negocio, el titular de la empresa individual de responsabilidad limitada puede crear las llamadas "cuotas suplementarias de garantía". La cuota suplementaria de garantía es un conjunto de bienes adscritos subsidiariamente a la empresa, o sea destinado a responder a los acreedores de las mismas, en la medida en que no alcanzare para ello el capital y las reservas de la empresa. </w:t>
      </w:r>
      <w:r w:rsidR="001321A8">
        <w:rPr>
          <w:rFonts w:ascii="Times-Roman" w:hAnsi="Times-Roman" w:cs="Times-Roman"/>
          <w:sz w:val="18"/>
          <w:szCs w:val="18"/>
          <w:lang w:eastAsia="en-US"/>
        </w:rPr>
        <w:t>La c</w:t>
      </w:r>
      <w:r>
        <w:rPr>
          <w:rFonts w:ascii="Times-Roman" w:hAnsi="Times-Roman" w:cs="Times-Roman"/>
          <w:sz w:val="18"/>
          <w:szCs w:val="18"/>
          <w:lang w:eastAsia="en-US"/>
        </w:rPr>
        <w:t>uota suplementaria de garantía se constituirá observando las mismas formalidades que para constituir la empresa, o sea que se hará inventario de los bienes incluidos en ella, se aprobará dicho inventario por la oficina que ejerce la vigilancia del Estado, y finalmente se otorgará escritura pública, en la que se harán constar dichos bienes, inclusive el inventario de ellos y la aprobación del mismo, así como la circunstancia de constituir una cuota suplementaria de garantía para la empresa de que se trata; dicha escritura se inscribirá en el Registro de Comercio, y si fuere necesario, en el Registro de la Propiedad Raíz.</w:t>
      </w:r>
    </w:p>
    <w:p w14:paraId="4BB5C685" w14:textId="77777777" w:rsidR="00CD6098" w:rsidRDefault="00CD6098" w:rsidP="00037ACE">
      <w:pPr>
        <w:jc w:val="both"/>
        <w:rPr>
          <w:rFonts w:ascii="Times-Roman" w:hAnsi="Times-Roman" w:cs="Times-Roman"/>
          <w:sz w:val="18"/>
          <w:szCs w:val="18"/>
          <w:lang w:eastAsia="en-US"/>
        </w:rPr>
      </w:pPr>
    </w:p>
    <w:p w14:paraId="178DBD20" w14:textId="77777777" w:rsidR="001321A8" w:rsidRDefault="00CD6098" w:rsidP="00037ACE">
      <w:pPr>
        <w:jc w:val="both"/>
        <w:rPr>
          <w:rFonts w:ascii="Helvetica" w:hAnsi="Helvetica" w:cs="Helvetica"/>
          <w:sz w:val="21"/>
          <w:szCs w:val="21"/>
          <w:lang w:eastAsia="en-US"/>
        </w:rPr>
      </w:pPr>
      <w:r>
        <w:rPr>
          <w:rFonts w:ascii="Times-Roman" w:hAnsi="Times-Roman" w:cs="Times-Roman"/>
          <w:sz w:val="18"/>
          <w:szCs w:val="18"/>
          <w:lang w:eastAsia="en-US"/>
        </w:rPr>
        <w:t xml:space="preserve">La garantía de los acreedores del titular de la empresa individual de responsabilidad limitada, está constituida en la siguiente forma: </w:t>
      </w:r>
    </w:p>
    <w:p w14:paraId="339D422D" w14:textId="77777777" w:rsidR="001321A8" w:rsidRDefault="001321A8" w:rsidP="00037ACE">
      <w:pPr>
        <w:jc w:val="both"/>
        <w:rPr>
          <w:rFonts w:ascii="Helvetica" w:hAnsi="Helvetica" w:cs="Helvetica"/>
          <w:sz w:val="21"/>
          <w:szCs w:val="21"/>
          <w:lang w:eastAsia="en-US"/>
        </w:rPr>
      </w:pPr>
    </w:p>
    <w:p w14:paraId="3300921D"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1) Responden por las obligaciones del titular, contraídas dentro del giro ordinario de la empresa, en primer lugar, el capital y reservas de la misma; en segundo lugar, los bienes que componen la cuota suplementaria de garantía, o sea que para hacer efectivas las obligaciones aludidas en estos bienes, será necesario que se hayan agotado los que componen el capital y reservas de la empresa.</w:t>
      </w:r>
    </w:p>
    <w:p w14:paraId="37F22D3D" w14:textId="77777777" w:rsidR="00CD6098" w:rsidRDefault="00CD6098" w:rsidP="00037ACE">
      <w:pPr>
        <w:jc w:val="both"/>
        <w:rPr>
          <w:rFonts w:ascii="Times-Roman" w:hAnsi="Times-Roman" w:cs="Times-Roman"/>
          <w:sz w:val="18"/>
          <w:szCs w:val="18"/>
          <w:lang w:eastAsia="en-US"/>
        </w:rPr>
      </w:pPr>
    </w:p>
    <w:p w14:paraId="60BE5AAB"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2) Responden de las demás obligaciones del titular, o sea de las contraídas fuera del giro de la empresa, los otros bienes que tenga el titular y que no se hayan adscrito a la empresa, y también los bienes que componen la cuota suplementaria de garantía.</w:t>
      </w:r>
    </w:p>
    <w:p w14:paraId="01A94657" w14:textId="77777777" w:rsidR="00CD6098" w:rsidRDefault="00CD6098" w:rsidP="00037ACE">
      <w:pPr>
        <w:jc w:val="both"/>
        <w:rPr>
          <w:rFonts w:ascii="Times-Roman" w:hAnsi="Times-Roman" w:cs="Times-Roman"/>
          <w:sz w:val="18"/>
          <w:szCs w:val="18"/>
          <w:lang w:eastAsia="en-US"/>
        </w:rPr>
      </w:pPr>
    </w:p>
    <w:p w14:paraId="55FC2084" w14:textId="77777777" w:rsidR="001321A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La empresa individual de responsabilidad limitada puede liquidarse. La liquidación puede ser voluntaria o forzosa y o</w:t>
      </w:r>
      <w:r w:rsidR="001321A8">
        <w:rPr>
          <w:rFonts w:ascii="Times-Roman" w:hAnsi="Times-Roman" w:cs="Times-Roman"/>
          <w:sz w:val="18"/>
          <w:szCs w:val="18"/>
          <w:lang w:eastAsia="en-US"/>
        </w:rPr>
        <w:t>bedece a las reglas siguientes:</w:t>
      </w:r>
    </w:p>
    <w:p w14:paraId="44784889" w14:textId="77777777" w:rsidR="001321A8" w:rsidRDefault="001321A8" w:rsidP="00037ACE">
      <w:pPr>
        <w:jc w:val="both"/>
        <w:rPr>
          <w:rFonts w:ascii="Times-Roman" w:hAnsi="Times-Roman" w:cs="Times-Roman"/>
          <w:sz w:val="18"/>
          <w:szCs w:val="18"/>
          <w:lang w:eastAsia="en-US"/>
        </w:rPr>
      </w:pPr>
    </w:p>
    <w:p w14:paraId="55839A3E" w14:textId="77777777" w:rsidR="00CD6098" w:rsidRDefault="001321A8" w:rsidP="00037ACE">
      <w:pPr>
        <w:jc w:val="both"/>
        <w:rPr>
          <w:rFonts w:ascii="Times-Roman" w:hAnsi="Times-Roman" w:cs="Times-Roman"/>
          <w:sz w:val="18"/>
          <w:szCs w:val="18"/>
          <w:lang w:eastAsia="en-US"/>
        </w:rPr>
      </w:pPr>
      <w:r>
        <w:rPr>
          <w:rFonts w:ascii="Times-Roman" w:hAnsi="Times-Roman" w:cs="Times-Roman"/>
          <w:sz w:val="18"/>
          <w:szCs w:val="18"/>
          <w:lang w:eastAsia="en-US"/>
        </w:rPr>
        <w:t>I</w:t>
      </w:r>
      <w:r w:rsidR="00CD6098">
        <w:rPr>
          <w:rFonts w:ascii="Times-Roman" w:hAnsi="Times-Roman" w:cs="Times-Roman"/>
          <w:sz w:val="18"/>
          <w:szCs w:val="18"/>
          <w:lang w:eastAsia="en-US"/>
        </w:rPr>
        <w:t>.-Si la liquidación es voluntaria, al titular corresponde tomar la decisión de efectuarla, pudiendo practicar la liquidación por sí mismo o nombrar liquidador.</w:t>
      </w:r>
    </w:p>
    <w:p w14:paraId="34C11AA2" w14:textId="77777777" w:rsidR="001321A8" w:rsidRDefault="001321A8" w:rsidP="00037ACE">
      <w:pPr>
        <w:jc w:val="both"/>
        <w:rPr>
          <w:rFonts w:ascii="Times-Roman" w:hAnsi="Times-Roman" w:cs="Times-Roman"/>
          <w:sz w:val="18"/>
          <w:szCs w:val="18"/>
          <w:lang w:eastAsia="en-US"/>
        </w:rPr>
      </w:pPr>
    </w:p>
    <w:p w14:paraId="6F279815" w14:textId="77777777" w:rsidR="00CD6098" w:rsidRDefault="001321A8" w:rsidP="00037ACE">
      <w:pPr>
        <w:jc w:val="both"/>
        <w:rPr>
          <w:rFonts w:ascii="Times-Roman" w:hAnsi="Times-Roman" w:cs="Times-Roman"/>
          <w:sz w:val="18"/>
          <w:szCs w:val="18"/>
          <w:lang w:eastAsia="en-US"/>
        </w:rPr>
      </w:pPr>
      <w:r>
        <w:rPr>
          <w:rFonts w:ascii="Times-Roman" w:hAnsi="Times-Roman" w:cs="Times-Roman"/>
          <w:sz w:val="18"/>
          <w:szCs w:val="18"/>
          <w:lang w:eastAsia="en-US"/>
        </w:rPr>
        <w:t>II</w:t>
      </w:r>
      <w:r w:rsidR="00CD6098">
        <w:rPr>
          <w:rFonts w:ascii="Times-Roman" w:hAnsi="Times-Roman" w:cs="Times-Roman"/>
          <w:sz w:val="18"/>
          <w:szCs w:val="18"/>
          <w:lang w:eastAsia="en-US"/>
        </w:rPr>
        <w:t>.-Si la liquidación es forzosa, la decreta el juez, en juicio sumario, a petición de cualquier interesado o del Ministerio Público, por medio del Fiscal General de fa República; en estos casos el liquidador será nombrado por el juez.</w:t>
      </w:r>
    </w:p>
    <w:p w14:paraId="5D0258A9" w14:textId="77777777" w:rsidR="001321A8" w:rsidRDefault="001321A8" w:rsidP="00037ACE">
      <w:pPr>
        <w:jc w:val="both"/>
        <w:rPr>
          <w:rFonts w:ascii="Times-Roman" w:hAnsi="Times-Roman" w:cs="Times-Roman"/>
          <w:sz w:val="18"/>
          <w:szCs w:val="18"/>
          <w:lang w:eastAsia="en-US"/>
        </w:rPr>
      </w:pPr>
    </w:p>
    <w:p w14:paraId="3E102F20" w14:textId="77777777" w:rsidR="00CD6098" w:rsidRDefault="001321A8" w:rsidP="00037ACE">
      <w:pPr>
        <w:jc w:val="both"/>
        <w:rPr>
          <w:rFonts w:ascii="Times-Roman" w:hAnsi="Times-Roman" w:cs="Times-Roman"/>
          <w:sz w:val="18"/>
          <w:szCs w:val="18"/>
          <w:lang w:eastAsia="en-US"/>
        </w:rPr>
      </w:pPr>
      <w:r>
        <w:rPr>
          <w:rFonts w:ascii="Times-Roman" w:hAnsi="Times-Roman" w:cs="Times-Roman"/>
          <w:sz w:val="18"/>
          <w:szCs w:val="18"/>
          <w:lang w:eastAsia="en-US"/>
        </w:rPr>
        <w:t>III</w:t>
      </w:r>
      <w:r w:rsidR="00CD6098">
        <w:rPr>
          <w:rFonts w:ascii="Times-Roman" w:hAnsi="Times-Roman" w:cs="Times-Roman"/>
          <w:sz w:val="18"/>
          <w:szCs w:val="18"/>
          <w:lang w:eastAsia="en-US"/>
        </w:rPr>
        <w:t>.-En todos los casos contemplados en los ordinales anteriores, la liquidación se ajustará, en lo que le fuere aplicable, a las disposiciones contenidas en el Proyecto de Código de Comercio para la liquidación de sociedad de personas.</w:t>
      </w:r>
    </w:p>
    <w:p w14:paraId="0DECAF67" w14:textId="77777777" w:rsidR="00CD6098" w:rsidRDefault="00CD6098" w:rsidP="00037ACE">
      <w:pPr>
        <w:jc w:val="both"/>
        <w:rPr>
          <w:rFonts w:ascii="Times-Roman" w:hAnsi="Times-Roman" w:cs="Times-Roman"/>
          <w:sz w:val="18"/>
          <w:szCs w:val="18"/>
          <w:lang w:eastAsia="en-US"/>
        </w:rPr>
      </w:pPr>
    </w:p>
    <w:p w14:paraId="4C11AE8D" w14:textId="77777777" w:rsidR="001321A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La liquidación forzosa de la empresa individual de responsabilidad limitada, p</w:t>
      </w:r>
      <w:r w:rsidR="001321A8">
        <w:rPr>
          <w:rFonts w:ascii="Times-Roman" w:hAnsi="Times-Roman" w:cs="Times-Roman"/>
          <w:sz w:val="18"/>
          <w:szCs w:val="18"/>
          <w:lang w:eastAsia="en-US"/>
        </w:rPr>
        <w:t>rocede en los casos siguientes:</w:t>
      </w:r>
    </w:p>
    <w:p w14:paraId="5D623089" w14:textId="77777777" w:rsidR="001321A8" w:rsidRDefault="001321A8" w:rsidP="00037ACE">
      <w:pPr>
        <w:jc w:val="both"/>
        <w:rPr>
          <w:rFonts w:ascii="Times-Roman" w:hAnsi="Times-Roman" w:cs="Times-Roman"/>
          <w:sz w:val="18"/>
          <w:szCs w:val="18"/>
          <w:lang w:eastAsia="en-US"/>
        </w:rPr>
      </w:pPr>
    </w:p>
    <w:p w14:paraId="1AECE564"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1) Por quiebra de la empresa, porque el juicio universal de quiebra traerá consigo su liquidación.</w:t>
      </w:r>
    </w:p>
    <w:p w14:paraId="0D28FD35" w14:textId="77777777" w:rsidR="00CD6098" w:rsidRDefault="00CD6098" w:rsidP="00037ACE">
      <w:pPr>
        <w:jc w:val="both"/>
        <w:rPr>
          <w:rFonts w:ascii="Times-Roman" w:hAnsi="Times-Roman" w:cs="Times-Roman"/>
          <w:sz w:val="18"/>
          <w:szCs w:val="18"/>
          <w:lang w:eastAsia="en-US"/>
        </w:rPr>
      </w:pPr>
    </w:p>
    <w:p w14:paraId="78867F7D"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2) Por quiebra de cualquier otra empresa individual de responsabilidad limitada, perteneciente al mismo titular; porque éste ha demostrado, por lo menos, falta de la previsión necesaria para manejar empresas de esta clase en forma tal que no impliquen peligro para el público.</w:t>
      </w:r>
    </w:p>
    <w:p w14:paraId="5AD5E92D" w14:textId="77777777" w:rsidR="00CD6098" w:rsidRDefault="00CD6098" w:rsidP="00037ACE">
      <w:pPr>
        <w:jc w:val="both"/>
        <w:rPr>
          <w:rFonts w:ascii="Times-Roman" w:hAnsi="Times-Roman" w:cs="Times-Roman"/>
          <w:sz w:val="18"/>
          <w:szCs w:val="18"/>
          <w:lang w:eastAsia="en-US"/>
        </w:rPr>
      </w:pPr>
    </w:p>
    <w:p w14:paraId="5B5F4C79"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3) Por la pérdida de la mitad del patrimonio de la empresa o de una proporción menor, si como resultado de la misma, dicho patrimonio quedare reducido a menos de diez mil colones; porque en estos casos es obvio que ha mermado notablemente la garantía de que disponen los acreedores. Por esta razón, si el titular realiza aportaciones que vengan a reintegrar la pérdida sufrida, no se aplicará la causal; el reintegro debe realizarse dentro de un plazo legal señalado a partir de la fecha en que el titular tuvo conocimiento de la pérdida que motiva la causal, plazo que el Proyecto de Código de Comercio ha fijado en un mes.</w:t>
      </w:r>
    </w:p>
    <w:p w14:paraId="720591B9" w14:textId="77777777" w:rsidR="00CD6098" w:rsidRDefault="00CD6098" w:rsidP="00037ACE">
      <w:pPr>
        <w:jc w:val="both"/>
        <w:rPr>
          <w:rFonts w:ascii="Times-Roman" w:hAnsi="Times-Roman" w:cs="Times-Roman"/>
          <w:sz w:val="18"/>
          <w:szCs w:val="18"/>
          <w:lang w:eastAsia="en-US"/>
        </w:rPr>
      </w:pPr>
    </w:p>
    <w:p w14:paraId="5AB46941" w14:textId="77777777" w:rsidR="001321A8" w:rsidRDefault="00CD6098" w:rsidP="00037ACE">
      <w:pPr>
        <w:jc w:val="both"/>
        <w:rPr>
          <w:rFonts w:ascii="Helvetica" w:hAnsi="Helvetica" w:cs="Helvetica"/>
          <w:sz w:val="19"/>
          <w:szCs w:val="19"/>
          <w:lang w:eastAsia="en-US"/>
        </w:rPr>
      </w:pPr>
      <w:r>
        <w:rPr>
          <w:rFonts w:ascii="Times-Roman" w:hAnsi="Times-Roman" w:cs="Times-Roman"/>
          <w:sz w:val="18"/>
          <w:szCs w:val="18"/>
          <w:lang w:eastAsia="en-US"/>
        </w:rPr>
        <w:t xml:space="preserve">El traspaso de la empresa individual de responsabilidad limitada, obedece a las reglas para el traspaso de cualquier clase de bienes; por lo tanto, puede ser entre vivos o por causa de muerte; las reglas aplicables son las siguientes: </w:t>
      </w:r>
    </w:p>
    <w:p w14:paraId="5636D6FA" w14:textId="77777777" w:rsidR="001321A8" w:rsidRDefault="001321A8" w:rsidP="00037ACE">
      <w:pPr>
        <w:jc w:val="both"/>
        <w:rPr>
          <w:rFonts w:ascii="Helvetica" w:hAnsi="Helvetica" w:cs="Helvetica"/>
          <w:sz w:val="19"/>
          <w:szCs w:val="19"/>
          <w:lang w:eastAsia="en-US"/>
        </w:rPr>
      </w:pPr>
    </w:p>
    <w:p w14:paraId="10E21209"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a) Si el traspaso fuere entre vivos, se hará por escritura pública y se inscribirá en el Registro de Comercio.</w:t>
      </w:r>
    </w:p>
    <w:p w14:paraId="4BDA953F" w14:textId="77777777" w:rsidR="00CD6098" w:rsidRDefault="00CD6098" w:rsidP="00037ACE">
      <w:pPr>
        <w:jc w:val="both"/>
        <w:rPr>
          <w:rFonts w:ascii="Times-Roman" w:hAnsi="Times-Roman" w:cs="Times-Roman"/>
          <w:sz w:val="18"/>
          <w:szCs w:val="18"/>
          <w:lang w:eastAsia="en-US"/>
        </w:rPr>
      </w:pPr>
    </w:p>
    <w:p w14:paraId="1B9C71A6"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b) Si el traspaso fuere por causa de muerte, la escritura constitutiva se inscribirá por traspaso en el Registro de Comercio, a favor de los herederos del titular difunto; previamente a esta inscripción, deberán inscribirse, en concepto de antecedentes inmediatos, la declaratoria de herederos y, si se tratara de sucesión testamentaria, el testamento.</w:t>
      </w:r>
    </w:p>
    <w:p w14:paraId="5BC0A606" w14:textId="77777777" w:rsidR="00CD6098" w:rsidRDefault="00CD6098" w:rsidP="00037ACE">
      <w:pPr>
        <w:jc w:val="both"/>
        <w:rPr>
          <w:rFonts w:ascii="Times-Roman" w:hAnsi="Times-Roman" w:cs="Times-Roman"/>
          <w:sz w:val="18"/>
          <w:szCs w:val="18"/>
          <w:lang w:eastAsia="en-US"/>
        </w:rPr>
      </w:pPr>
    </w:p>
    <w:p w14:paraId="08AE2147" w14:textId="77777777" w:rsidR="00CD6098"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c) Si entre los bienes que forman parte del patrimonio de la empresa individual de responsabilidad que se traspasa, o de la cuota suplementaria de garantía de la misma, hubiere inmuebles, los traspasos deberán inscribirse también en el Registro Público de la Propiedad.</w:t>
      </w:r>
    </w:p>
    <w:p w14:paraId="1B3F6641" w14:textId="77777777" w:rsidR="00CD6098" w:rsidRDefault="00CD6098" w:rsidP="00037ACE">
      <w:pPr>
        <w:jc w:val="both"/>
        <w:rPr>
          <w:rFonts w:ascii="Times-Roman" w:hAnsi="Times-Roman" w:cs="Times-Roman"/>
          <w:sz w:val="18"/>
          <w:szCs w:val="18"/>
          <w:lang w:eastAsia="en-US"/>
        </w:rPr>
      </w:pPr>
    </w:p>
    <w:p w14:paraId="1642EDD0" w14:textId="428A7279" w:rsidR="00875A19" w:rsidRPr="00557E0C" w:rsidRDefault="00CD6098" w:rsidP="00037ACE">
      <w:pPr>
        <w:jc w:val="both"/>
        <w:rPr>
          <w:rFonts w:ascii="Times-Roman" w:hAnsi="Times-Roman" w:cs="Times-Roman"/>
          <w:sz w:val="18"/>
          <w:szCs w:val="18"/>
          <w:lang w:eastAsia="en-US"/>
        </w:rPr>
      </w:pPr>
      <w:r>
        <w:rPr>
          <w:rFonts w:ascii="Times-Roman" w:hAnsi="Times-Roman" w:cs="Times-Roman"/>
          <w:sz w:val="18"/>
          <w:szCs w:val="18"/>
          <w:lang w:eastAsia="en-US"/>
        </w:rPr>
        <w:t xml:space="preserve">d) </w:t>
      </w:r>
      <w:r>
        <w:rPr>
          <w:rFonts w:ascii="Helvetica" w:hAnsi="Helvetica" w:cs="Helvetica"/>
          <w:sz w:val="19"/>
          <w:szCs w:val="19"/>
          <w:lang w:eastAsia="en-US"/>
        </w:rPr>
        <w:t xml:space="preserve">La </w:t>
      </w:r>
      <w:r>
        <w:rPr>
          <w:rFonts w:ascii="Times-Roman" w:hAnsi="Times-Roman" w:cs="Times-Roman"/>
          <w:sz w:val="18"/>
          <w:szCs w:val="18"/>
          <w:lang w:eastAsia="en-US"/>
        </w:rPr>
        <w:t>empresa podrá continuar usando el mismo nombre o denominación que ha usado hasta el momento; pero, si el nombre fuere el del titular difunto, habrá que agregarle a éste la palabra "sucesores", para demostrar al público que la empresa pertenece ya a otras personas.</w:t>
      </w:r>
      <w:bookmarkStart w:id="0" w:name="_GoBack"/>
      <w:bookmarkEnd w:id="0"/>
    </w:p>
    <w:sectPr w:rsidR="00875A19" w:rsidRPr="00557E0C" w:rsidSect="00037ACE">
      <w:type w:val="continuous"/>
      <w:pgSz w:w="15842" w:h="12242" w:orient="landscape"/>
      <w:pgMar w:top="568" w:right="425" w:bottom="284" w:left="709" w:header="0" w:footer="4321" w:gutter="0"/>
      <w:cols w:num="2" w:space="318"/>
      <w:noEndnote/>
      <w:docGrid w:linePitch="204"/>
      <w:printerSettings r:id="rId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Batang">
    <w:altName w:val="©öUAA"/>
    <w:charset w:val="81"/>
    <w:family w:val="roman"/>
    <w:pitch w:val="variable"/>
    <w:sig w:usb0="B00002AF" w:usb1="69D77CFB" w:usb2="00000030" w:usb3="00000000" w:csb0="0008009F" w:csb1="00000000"/>
  </w:font>
  <w:font w:name="Times New Roman">
    <w:panose1 w:val="02020603050405020304"/>
    <w:charset w:val="00"/>
    <w:family w:val="auto"/>
    <w:pitch w:val="variable"/>
    <w:sig w:usb0="E0002AFF" w:usb1="C0007841" w:usb2="00000009" w:usb3="00000000" w:csb0="000001FF" w:csb1="00000000"/>
  </w:font>
  <w:font w:name="Comic Sans MS">
    <w:panose1 w:val="030F0702030302020204"/>
    <w:charset w:val="00"/>
    <w:family w:val="auto"/>
    <w:pitch w:val="variable"/>
    <w:sig w:usb0="00000003" w:usb1="00000000" w:usb2="00000000" w:usb3="00000000" w:csb0="00000001" w:csb1="00000000"/>
  </w:font>
  <w:font w:name="UpstartSSK">
    <w:altName w:val="Courier New"/>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Short Hand">
    <w:altName w:val="Courier New"/>
    <w:charset w:val="00"/>
    <w:family w:val="auto"/>
    <w:pitch w:val="variable"/>
    <w:sig w:usb0="00000003" w:usb1="00000000" w:usb2="00000000" w:usb3="00000000" w:csb0="00000001" w:csb1="00000000"/>
  </w:font>
  <w:font w:name="Simpson">
    <w:altName w:val="Simpson Normal"/>
    <w:charset w:val="00"/>
    <w:family w:val="auto"/>
    <w:pitch w:val="variable"/>
    <w:sig w:usb0="00000003" w:usb1="00000000" w:usb2="00000000" w:usb3="00000000" w:csb0="00000001" w:csb1="00000000"/>
  </w:font>
  <w:font w:name="Times-Roman">
    <w:altName w:val="Times"/>
    <w:panose1 w:val="00000000000000000000"/>
    <w:charset w:val="4D"/>
    <w:family w:val="roman"/>
    <w:notTrueType/>
    <w:pitch w:val="default"/>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defaultTabStop w:val="708"/>
  <w:hyphenationZone w:val="425"/>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6098"/>
    <w:rsid w:val="000014DB"/>
    <w:rsid w:val="00037ACE"/>
    <w:rsid w:val="000E6875"/>
    <w:rsid w:val="00115D9F"/>
    <w:rsid w:val="0012165F"/>
    <w:rsid w:val="001321A8"/>
    <w:rsid w:val="0013737B"/>
    <w:rsid w:val="00144B63"/>
    <w:rsid w:val="00221072"/>
    <w:rsid w:val="002305FA"/>
    <w:rsid w:val="0029602C"/>
    <w:rsid w:val="00367DE0"/>
    <w:rsid w:val="003D3A2A"/>
    <w:rsid w:val="003F69A8"/>
    <w:rsid w:val="00430CD8"/>
    <w:rsid w:val="004849D8"/>
    <w:rsid w:val="004A66E5"/>
    <w:rsid w:val="0050282B"/>
    <w:rsid w:val="00504945"/>
    <w:rsid w:val="0051296B"/>
    <w:rsid w:val="005146D5"/>
    <w:rsid w:val="00551CA2"/>
    <w:rsid w:val="00551CC3"/>
    <w:rsid w:val="00557E0C"/>
    <w:rsid w:val="00591487"/>
    <w:rsid w:val="005B6CD4"/>
    <w:rsid w:val="005F7B1A"/>
    <w:rsid w:val="0060619D"/>
    <w:rsid w:val="00622009"/>
    <w:rsid w:val="006C77EE"/>
    <w:rsid w:val="007036E6"/>
    <w:rsid w:val="007106BF"/>
    <w:rsid w:val="00716E9B"/>
    <w:rsid w:val="00746739"/>
    <w:rsid w:val="0077429F"/>
    <w:rsid w:val="007B4CAC"/>
    <w:rsid w:val="00804CCE"/>
    <w:rsid w:val="00861601"/>
    <w:rsid w:val="00875A19"/>
    <w:rsid w:val="008C5B7D"/>
    <w:rsid w:val="008E5283"/>
    <w:rsid w:val="008F6339"/>
    <w:rsid w:val="00946AAD"/>
    <w:rsid w:val="00965483"/>
    <w:rsid w:val="009A2AE3"/>
    <w:rsid w:val="009E0967"/>
    <w:rsid w:val="00A054B1"/>
    <w:rsid w:val="00A57FCE"/>
    <w:rsid w:val="00B4425C"/>
    <w:rsid w:val="00B65C2B"/>
    <w:rsid w:val="00C34782"/>
    <w:rsid w:val="00C46233"/>
    <w:rsid w:val="00C91104"/>
    <w:rsid w:val="00C95707"/>
    <w:rsid w:val="00CD6098"/>
    <w:rsid w:val="00D356B4"/>
    <w:rsid w:val="00D61773"/>
    <w:rsid w:val="00D717C7"/>
    <w:rsid w:val="00DC0277"/>
    <w:rsid w:val="00E92F7B"/>
    <w:rsid w:val="00EE3471"/>
    <w:rsid w:val="00EE42EA"/>
    <w:rsid w:val="00F3444A"/>
    <w:rsid w:val="00F66BE0"/>
    <w:rsid w:val="00FD76AD"/>
    <w:rsid w:val="00FE014D"/>
    <w:rsid w:val="00FF1346"/>
    <w:rsid w:val="00FF3047"/>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3D9C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Batang"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76AD"/>
    <w:pPr>
      <w:spacing w:after="0"/>
    </w:pPr>
    <w:rPr>
      <w:rFonts w:ascii="Times New Roman" w:hAnsi="Times New Roman" w:cs="Times New Roman"/>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5ComicSans10">
    <w:name w:val="5 Comic Sans 10"/>
    <w:basedOn w:val="Normal"/>
    <w:rsid w:val="00FD76AD"/>
    <w:pPr>
      <w:spacing w:line="413" w:lineRule="auto"/>
      <w:jc w:val="both"/>
    </w:pPr>
    <w:rPr>
      <w:rFonts w:ascii="Comic Sans MS" w:hAnsi="Comic Sans MS"/>
      <w:color w:val="0000FF"/>
      <w:sz w:val="20"/>
      <w:szCs w:val="20"/>
      <w:lang w:val="es-GT"/>
    </w:rPr>
  </w:style>
  <w:style w:type="paragraph" w:customStyle="1" w:styleId="6ComicSans11">
    <w:name w:val="6 Comic Sans 11"/>
    <w:basedOn w:val="5ComicSans10"/>
    <w:rsid w:val="00FD76AD"/>
    <w:pPr>
      <w:spacing w:line="376" w:lineRule="auto"/>
    </w:pPr>
    <w:rPr>
      <w:sz w:val="22"/>
    </w:rPr>
  </w:style>
  <w:style w:type="paragraph" w:customStyle="1" w:styleId="7ComicSans12">
    <w:name w:val="7 Comic Sans 12"/>
    <w:basedOn w:val="6ComicSans11"/>
    <w:rsid w:val="00FD76AD"/>
    <w:pPr>
      <w:spacing w:line="344" w:lineRule="auto"/>
    </w:pPr>
    <w:rPr>
      <w:sz w:val="24"/>
    </w:rPr>
  </w:style>
  <w:style w:type="paragraph" w:customStyle="1" w:styleId="3ComicSans8">
    <w:name w:val="3 Comic Sans 8"/>
    <w:basedOn w:val="7ComicSans12"/>
    <w:rsid w:val="00FD76AD"/>
    <w:pPr>
      <w:spacing w:line="516" w:lineRule="auto"/>
    </w:pPr>
    <w:rPr>
      <w:sz w:val="16"/>
    </w:rPr>
  </w:style>
  <w:style w:type="paragraph" w:customStyle="1" w:styleId="2ComicSans7">
    <w:name w:val="2 Comic Sans 7"/>
    <w:basedOn w:val="3ComicSans8"/>
    <w:rsid w:val="00FD76AD"/>
    <w:pPr>
      <w:spacing w:line="589" w:lineRule="auto"/>
    </w:pPr>
    <w:rPr>
      <w:sz w:val="14"/>
    </w:rPr>
  </w:style>
  <w:style w:type="paragraph" w:customStyle="1" w:styleId="1ComicSans6">
    <w:name w:val="1 Comic Sans 6"/>
    <w:basedOn w:val="2ComicSans7"/>
    <w:rsid w:val="00FD76AD"/>
    <w:pPr>
      <w:spacing w:line="689" w:lineRule="auto"/>
    </w:pPr>
    <w:rPr>
      <w:sz w:val="12"/>
    </w:rPr>
  </w:style>
  <w:style w:type="paragraph" w:customStyle="1" w:styleId="4ComicSans9">
    <w:name w:val="4 Comic Sans 9"/>
    <w:basedOn w:val="7ComicSans12"/>
    <w:rsid w:val="00FD76AD"/>
    <w:pPr>
      <w:spacing w:line="458" w:lineRule="auto"/>
    </w:pPr>
    <w:rPr>
      <w:sz w:val="18"/>
      <w:lang w:val="es-ES_tradnl"/>
    </w:rPr>
  </w:style>
  <w:style w:type="paragraph" w:customStyle="1" w:styleId="AUpStart12">
    <w:name w:val="A UpStart 12"/>
    <w:basedOn w:val="Normal"/>
    <w:rsid w:val="00FD76AD"/>
    <w:pPr>
      <w:spacing w:line="391" w:lineRule="auto"/>
      <w:jc w:val="both"/>
    </w:pPr>
    <w:rPr>
      <w:rFonts w:ascii="UpstartSSK" w:hAnsi="UpstartSSK"/>
      <w:color w:val="0000FF"/>
      <w:szCs w:val="20"/>
      <w:lang w:val="es-MX"/>
    </w:rPr>
  </w:style>
  <w:style w:type="paragraph" w:customStyle="1" w:styleId="Arial10">
    <w:name w:val="Arial 10"/>
    <w:basedOn w:val="Normal"/>
    <w:rsid w:val="00FD76AD"/>
    <w:pPr>
      <w:spacing w:line="500" w:lineRule="auto"/>
      <w:jc w:val="both"/>
    </w:pPr>
    <w:rPr>
      <w:rFonts w:ascii="Arial" w:hAnsi="Arial"/>
      <w:color w:val="0000FF"/>
      <w:sz w:val="20"/>
      <w:szCs w:val="20"/>
      <w:lang w:val="es-MX"/>
    </w:rPr>
  </w:style>
  <w:style w:type="paragraph" w:customStyle="1" w:styleId="Arial8">
    <w:name w:val="Arial 8"/>
    <w:basedOn w:val="Arial10"/>
    <w:rsid w:val="00FD76AD"/>
    <w:pPr>
      <w:spacing w:line="626" w:lineRule="auto"/>
    </w:pPr>
    <w:rPr>
      <w:sz w:val="16"/>
    </w:rPr>
  </w:style>
  <w:style w:type="paragraph" w:customStyle="1" w:styleId="Arial12">
    <w:name w:val="Arial 12"/>
    <w:basedOn w:val="Arial8"/>
    <w:rsid w:val="00FD76AD"/>
    <w:pPr>
      <w:spacing w:line="418" w:lineRule="auto"/>
    </w:pPr>
    <w:rPr>
      <w:sz w:val="24"/>
    </w:rPr>
  </w:style>
  <w:style w:type="paragraph" w:customStyle="1" w:styleId="Arial11">
    <w:name w:val="Arial 11"/>
    <w:basedOn w:val="Arial12"/>
    <w:rsid w:val="00FD76AD"/>
    <w:pPr>
      <w:spacing w:line="456" w:lineRule="auto"/>
    </w:pPr>
    <w:rPr>
      <w:sz w:val="22"/>
    </w:rPr>
  </w:style>
  <w:style w:type="paragraph" w:customStyle="1" w:styleId="Arial9">
    <w:name w:val="Arial 9"/>
    <w:basedOn w:val="Arial11"/>
    <w:rsid w:val="00FD76AD"/>
    <w:pPr>
      <w:spacing w:line="557" w:lineRule="auto"/>
    </w:pPr>
    <w:rPr>
      <w:sz w:val="18"/>
    </w:rPr>
  </w:style>
  <w:style w:type="paragraph" w:customStyle="1" w:styleId="BUpStart10">
    <w:name w:val="B UpStart 10"/>
    <w:basedOn w:val="Normal"/>
    <w:rsid w:val="00FD76AD"/>
    <w:pPr>
      <w:spacing w:line="468" w:lineRule="auto"/>
      <w:jc w:val="both"/>
    </w:pPr>
    <w:rPr>
      <w:rFonts w:ascii="UpstartSSK" w:hAnsi="UpstartSSK"/>
      <w:color w:val="0000FF"/>
      <w:sz w:val="20"/>
      <w:szCs w:val="20"/>
      <w:lang w:val="es-GT"/>
    </w:rPr>
  </w:style>
  <w:style w:type="paragraph" w:customStyle="1" w:styleId="CUpStart8">
    <w:name w:val="C UpStart 8"/>
    <w:basedOn w:val="Normal"/>
    <w:rsid w:val="00FD76AD"/>
    <w:pPr>
      <w:spacing w:line="583" w:lineRule="auto"/>
      <w:jc w:val="both"/>
    </w:pPr>
    <w:rPr>
      <w:rFonts w:ascii="UpstartSSK" w:hAnsi="UpstartSSK"/>
      <w:color w:val="0000FF"/>
      <w:sz w:val="16"/>
      <w:szCs w:val="20"/>
      <w:lang w:val="es-GT"/>
    </w:rPr>
  </w:style>
  <w:style w:type="paragraph" w:customStyle="1" w:styleId="CrearPlantilla">
    <w:name w:val="CrearPlantilla"/>
    <w:basedOn w:val="Normal"/>
    <w:rsid w:val="00FD76AD"/>
    <w:pPr>
      <w:suppressAutoHyphens/>
      <w:jc w:val="both"/>
    </w:pPr>
    <w:rPr>
      <w:rFonts w:ascii="Comic Sans MS" w:hAnsi="Comic Sans MS"/>
      <w:color w:val="000000"/>
      <w:spacing w:val="-2"/>
      <w:sz w:val="40"/>
      <w:szCs w:val="20"/>
      <w:lang w:val="es-ES_tradnl"/>
    </w:rPr>
  </w:style>
  <w:style w:type="paragraph" w:styleId="Encabezado">
    <w:name w:val="header"/>
    <w:basedOn w:val="Normal"/>
    <w:link w:val="EncabezadoCar"/>
    <w:rsid w:val="00FD76AD"/>
    <w:pPr>
      <w:tabs>
        <w:tab w:val="center" w:pos="4419"/>
        <w:tab w:val="right" w:pos="8838"/>
      </w:tabs>
    </w:pPr>
  </w:style>
  <w:style w:type="character" w:customStyle="1" w:styleId="EncabezadoCar">
    <w:name w:val="Encabezado Car"/>
    <w:basedOn w:val="Fuentedeprrafopredeter"/>
    <w:link w:val="Encabezado"/>
    <w:rsid w:val="00FD76AD"/>
    <w:rPr>
      <w:rFonts w:ascii="Times New Roman" w:eastAsia="Batang" w:hAnsi="Times New Roman" w:cs="Times New Roman"/>
      <w:lang w:val="es-ES" w:eastAsia="es-ES"/>
    </w:rPr>
  </w:style>
  <w:style w:type="paragraph" w:styleId="Piedepgina">
    <w:name w:val="footer"/>
    <w:basedOn w:val="Normal"/>
    <w:link w:val="PiedepginaCar"/>
    <w:rsid w:val="00FD76AD"/>
    <w:pPr>
      <w:tabs>
        <w:tab w:val="center" w:pos="4419"/>
        <w:tab w:val="right" w:pos="8838"/>
      </w:tabs>
    </w:pPr>
  </w:style>
  <w:style w:type="character" w:customStyle="1" w:styleId="PiedepginaCar">
    <w:name w:val="Pie de página Car"/>
    <w:basedOn w:val="Fuentedeprrafopredeter"/>
    <w:link w:val="Piedepgina"/>
    <w:rsid w:val="00FD76AD"/>
    <w:rPr>
      <w:rFonts w:ascii="Times New Roman" w:eastAsia="Batang" w:hAnsi="Times New Roman" w:cs="Times New Roman"/>
      <w:lang w:val="es-ES" w:eastAsia="es-ES"/>
    </w:rPr>
  </w:style>
  <w:style w:type="paragraph" w:customStyle="1" w:styleId="ShortHand11">
    <w:name w:val="ShortHand 11"/>
    <w:basedOn w:val="5ComicSans10"/>
    <w:rsid w:val="00FD76AD"/>
    <w:pPr>
      <w:spacing w:line="444" w:lineRule="auto"/>
    </w:pPr>
    <w:rPr>
      <w:rFonts w:ascii="Short Hand" w:hAnsi="Short Hand"/>
      <w:color w:val="000000"/>
      <w:sz w:val="22"/>
      <w:szCs w:val="22"/>
      <w:lang w:eastAsia="es-SV"/>
    </w:rPr>
  </w:style>
  <w:style w:type="paragraph" w:customStyle="1" w:styleId="ShortHand12">
    <w:name w:val="ShortHand 12"/>
    <w:basedOn w:val="ShortHand11"/>
    <w:rsid w:val="00FD76AD"/>
    <w:pPr>
      <w:spacing w:line="408" w:lineRule="auto"/>
    </w:pPr>
    <w:rPr>
      <w:sz w:val="24"/>
      <w:szCs w:val="24"/>
    </w:rPr>
  </w:style>
  <w:style w:type="paragraph" w:customStyle="1" w:styleId="ShortHand10">
    <w:name w:val="ShortHand 10"/>
    <w:basedOn w:val="ShortHand12"/>
    <w:rsid w:val="00FD76AD"/>
    <w:pPr>
      <w:spacing w:line="487" w:lineRule="auto"/>
    </w:pPr>
    <w:rPr>
      <w:sz w:val="20"/>
      <w:szCs w:val="20"/>
    </w:rPr>
  </w:style>
  <w:style w:type="paragraph" w:customStyle="1" w:styleId="Simpson10">
    <w:name w:val="Simpson 10"/>
    <w:basedOn w:val="Normal"/>
    <w:rsid w:val="00FD76AD"/>
    <w:pPr>
      <w:spacing w:line="470" w:lineRule="auto"/>
      <w:jc w:val="both"/>
    </w:pPr>
    <w:rPr>
      <w:rFonts w:ascii="Simpson" w:hAnsi="Simpson"/>
      <w:color w:val="000000"/>
      <w:sz w:val="20"/>
      <w:szCs w:val="20"/>
      <w:lang w:val="es-GT"/>
    </w:rPr>
  </w:style>
  <w:style w:type="paragraph" w:customStyle="1" w:styleId="Simpson11">
    <w:name w:val="Simpson 11"/>
    <w:basedOn w:val="Simpson10"/>
    <w:rsid w:val="00FD76AD"/>
    <w:pPr>
      <w:spacing w:line="427" w:lineRule="auto"/>
    </w:pPr>
    <w:rPr>
      <w:sz w:val="22"/>
      <w:szCs w:val="22"/>
    </w:rPr>
  </w:style>
  <w:style w:type="paragraph" w:customStyle="1" w:styleId="Simpson12">
    <w:name w:val="Simpson 12"/>
    <w:basedOn w:val="Simpson11"/>
    <w:rsid w:val="00FD76AD"/>
    <w:pPr>
      <w:spacing w:line="391" w:lineRule="auto"/>
    </w:pPr>
    <w:rPr>
      <w:sz w:val="24"/>
      <w:szCs w:val="24"/>
    </w:rPr>
  </w:style>
  <w:style w:type="paragraph" w:customStyle="1" w:styleId="Simpson14">
    <w:name w:val="Simpson 14"/>
    <w:basedOn w:val="Simpson12"/>
    <w:rsid w:val="00FD76AD"/>
    <w:pPr>
      <w:spacing w:line="336" w:lineRule="auto"/>
    </w:pPr>
    <w:rPr>
      <w:sz w:val="28"/>
      <w:szCs w:val="28"/>
      <w:lang w:val="es-SV"/>
    </w:rPr>
  </w:style>
  <w:style w:type="paragraph" w:customStyle="1" w:styleId="Simpson13">
    <w:name w:val="Simpson 13"/>
    <w:basedOn w:val="Simpson14"/>
    <w:rsid w:val="00FD76AD"/>
    <w:pPr>
      <w:spacing w:line="362" w:lineRule="auto"/>
    </w:pPr>
    <w:rPr>
      <w:sz w:val="26"/>
      <w:szCs w:val="2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Batang"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76AD"/>
    <w:pPr>
      <w:spacing w:after="0"/>
    </w:pPr>
    <w:rPr>
      <w:rFonts w:ascii="Times New Roman" w:hAnsi="Times New Roman" w:cs="Times New Roman"/>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5ComicSans10">
    <w:name w:val="5 Comic Sans 10"/>
    <w:basedOn w:val="Normal"/>
    <w:rsid w:val="00FD76AD"/>
    <w:pPr>
      <w:spacing w:line="413" w:lineRule="auto"/>
      <w:jc w:val="both"/>
    </w:pPr>
    <w:rPr>
      <w:rFonts w:ascii="Comic Sans MS" w:hAnsi="Comic Sans MS"/>
      <w:color w:val="0000FF"/>
      <w:sz w:val="20"/>
      <w:szCs w:val="20"/>
      <w:lang w:val="es-GT"/>
    </w:rPr>
  </w:style>
  <w:style w:type="paragraph" w:customStyle="1" w:styleId="6ComicSans11">
    <w:name w:val="6 Comic Sans 11"/>
    <w:basedOn w:val="5ComicSans10"/>
    <w:rsid w:val="00FD76AD"/>
    <w:pPr>
      <w:spacing w:line="376" w:lineRule="auto"/>
    </w:pPr>
    <w:rPr>
      <w:sz w:val="22"/>
    </w:rPr>
  </w:style>
  <w:style w:type="paragraph" w:customStyle="1" w:styleId="7ComicSans12">
    <w:name w:val="7 Comic Sans 12"/>
    <w:basedOn w:val="6ComicSans11"/>
    <w:rsid w:val="00FD76AD"/>
    <w:pPr>
      <w:spacing w:line="344" w:lineRule="auto"/>
    </w:pPr>
    <w:rPr>
      <w:sz w:val="24"/>
    </w:rPr>
  </w:style>
  <w:style w:type="paragraph" w:customStyle="1" w:styleId="3ComicSans8">
    <w:name w:val="3 Comic Sans 8"/>
    <w:basedOn w:val="7ComicSans12"/>
    <w:rsid w:val="00FD76AD"/>
    <w:pPr>
      <w:spacing w:line="516" w:lineRule="auto"/>
    </w:pPr>
    <w:rPr>
      <w:sz w:val="16"/>
    </w:rPr>
  </w:style>
  <w:style w:type="paragraph" w:customStyle="1" w:styleId="2ComicSans7">
    <w:name w:val="2 Comic Sans 7"/>
    <w:basedOn w:val="3ComicSans8"/>
    <w:rsid w:val="00FD76AD"/>
    <w:pPr>
      <w:spacing w:line="589" w:lineRule="auto"/>
    </w:pPr>
    <w:rPr>
      <w:sz w:val="14"/>
    </w:rPr>
  </w:style>
  <w:style w:type="paragraph" w:customStyle="1" w:styleId="1ComicSans6">
    <w:name w:val="1 Comic Sans 6"/>
    <w:basedOn w:val="2ComicSans7"/>
    <w:rsid w:val="00FD76AD"/>
    <w:pPr>
      <w:spacing w:line="689" w:lineRule="auto"/>
    </w:pPr>
    <w:rPr>
      <w:sz w:val="12"/>
    </w:rPr>
  </w:style>
  <w:style w:type="paragraph" w:customStyle="1" w:styleId="4ComicSans9">
    <w:name w:val="4 Comic Sans 9"/>
    <w:basedOn w:val="7ComicSans12"/>
    <w:rsid w:val="00FD76AD"/>
    <w:pPr>
      <w:spacing w:line="458" w:lineRule="auto"/>
    </w:pPr>
    <w:rPr>
      <w:sz w:val="18"/>
      <w:lang w:val="es-ES_tradnl"/>
    </w:rPr>
  </w:style>
  <w:style w:type="paragraph" w:customStyle="1" w:styleId="AUpStart12">
    <w:name w:val="A UpStart 12"/>
    <w:basedOn w:val="Normal"/>
    <w:rsid w:val="00FD76AD"/>
    <w:pPr>
      <w:spacing w:line="391" w:lineRule="auto"/>
      <w:jc w:val="both"/>
    </w:pPr>
    <w:rPr>
      <w:rFonts w:ascii="UpstartSSK" w:hAnsi="UpstartSSK"/>
      <w:color w:val="0000FF"/>
      <w:szCs w:val="20"/>
      <w:lang w:val="es-MX"/>
    </w:rPr>
  </w:style>
  <w:style w:type="paragraph" w:customStyle="1" w:styleId="Arial10">
    <w:name w:val="Arial 10"/>
    <w:basedOn w:val="Normal"/>
    <w:rsid w:val="00FD76AD"/>
    <w:pPr>
      <w:spacing w:line="500" w:lineRule="auto"/>
      <w:jc w:val="both"/>
    </w:pPr>
    <w:rPr>
      <w:rFonts w:ascii="Arial" w:hAnsi="Arial"/>
      <w:color w:val="0000FF"/>
      <w:sz w:val="20"/>
      <w:szCs w:val="20"/>
      <w:lang w:val="es-MX"/>
    </w:rPr>
  </w:style>
  <w:style w:type="paragraph" w:customStyle="1" w:styleId="Arial8">
    <w:name w:val="Arial 8"/>
    <w:basedOn w:val="Arial10"/>
    <w:rsid w:val="00FD76AD"/>
    <w:pPr>
      <w:spacing w:line="626" w:lineRule="auto"/>
    </w:pPr>
    <w:rPr>
      <w:sz w:val="16"/>
    </w:rPr>
  </w:style>
  <w:style w:type="paragraph" w:customStyle="1" w:styleId="Arial12">
    <w:name w:val="Arial 12"/>
    <w:basedOn w:val="Arial8"/>
    <w:rsid w:val="00FD76AD"/>
    <w:pPr>
      <w:spacing w:line="418" w:lineRule="auto"/>
    </w:pPr>
    <w:rPr>
      <w:sz w:val="24"/>
    </w:rPr>
  </w:style>
  <w:style w:type="paragraph" w:customStyle="1" w:styleId="Arial11">
    <w:name w:val="Arial 11"/>
    <w:basedOn w:val="Arial12"/>
    <w:rsid w:val="00FD76AD"/>
    <w:pPr>
      <w:spacing w:line="456" w:lineRule="auto"/>
    </w:pPr>
    <w:rPr>
      <w:sz w:val="22"/>
    </w:rPr>
  </w:style>
  <w:style w:type="paragraph" w:customStyle="1" w:styleId="Arial9">
    <w:name w:val="Arial 9"/>
    <w:basedOn w:val="Arial11"/>
    <w:rsid w:val="00FD76AD"/>
    <w:pPr>
      <w:spacing w:line="557" w:lineRule="auto"/>
    </w:pPr>
    <w:rPr>
      <w:sz w:val="18"/>
    </w:rPr>
  </w:style>
  <w:style w:type="paragraph" w:customStyle="1" w:styleId="BUpStart10">
    <w:name w:val="B UpStart 10"/>
    <w:basedOn w:val="Normal"/>
    <w:rsid w:val="00FD76AD"/>
    <w:pPr>
      <w:spacing w:line="468" w:lineRule="auto"/>
      <w:jc w:val="both"/>
    </w:pPr>
    <w:rPr>
      <w:rFonts w:ascii="UpstartSSK" w:hAnsi="UpstartSSK"/>
      <w:color w:val="0000FF"/>
      <w:sz w:val="20"/>
      <w:szCs w:val="20"/>
      <w:lang w:val="es-GT"/>
    </w:rPr>
  </w:style>
  <w:style w:type="paragraph" w:customStyle="1" w:styleId="CUpStart8">
    <w:name w:val="C UpStart 8"/>
    <w:basedOn w:val="Normal"/>
    <w:rsid w:val="00FD76AD"/>
    <w:pPr>
      <w:spacing w:line="583" w:lineRule="auto"/>
      <w:jc w:val="both"/>
    </w:pPr>
    <w:rPr>
      <w:rFonts w:ascii="UpstartSSK" w:hAnsi="UpstartSSK"/>
      <w:color w:val="0000FF"/>
      <w:sz w:val="16"/>
      <w:szCs w:val="20"/>
      <w:lang w:val="es-GT"/>
    </w:rPr>
  </w:style>
  <w:style w:type="paragraph" w:customStyle="1" w:styleId="CrearPlantilla">
    <w:name w:val="CrearPlantilla"/>
    <w:basedOn w:val="Normal"/>
    <w:rsid w:val="00FD76AD"/>
    <w:pPr>
      <w:suppressAutoHyphens/>
      <w:jc w:val="both"/>
    </w:pPr>
    <w:rPr>
      <w:rFonts w:ascii="Comic Sans MS" w:hAnsi="Comic Sans MS"/>
      <w:color w:val="000000"/>
      <w:spacing w:val="-2"/>
      <w:sz w:val="40"/>
      <w:szCs w:val="20"/>
      <w:lang w:val="es-ES_tradnl"/>
    </w:rPr>
  </w:style>
  <w:style w:type="paragraph" w:styleId="Encabezado">
    <w:name w:val="header"/>
    <w:basedOn w:val="Normal"/>
    <w:link w:val="EncabezadoCar"/>
    <w:rsid w:val="00FD76AD"/>
    <w:pPr>
      <w:tabs>
        <w:tab w:val="center" w:pos="4419"/>
        <w:tab w:val="right" w:pos="8838"/>
      </w:tabs>
    </w:pPr>
  </w:style>
  <w:style w:type="character" w:customStyle="1" w:styleId="EncabezadoCar">
    <w:name w:val="Encabezado Car"/>
    <w:basedOn w:val="Fuentedeprrafopredeter"/>
    <w:link w:val="Encabezado"/>
    <w:rsid w:val="00FD76AD"/>
    <w:rPr>
      <w:rFonts w:ascii="Times New Roman" w:eastAsia="Batang" w:hAnsi="Times New Roman" w:cs="Times New Roman"/>
      <w:lang w:val="es-ES" w:eastAsia="es-ES"/>
    </w:rPr>
  </w:style>
  <w:style w:type="paragraph" w:styleId="Piedepgina">
    <w:name w:val="footer"/>
    <w:basedOn w:val="Normal"/>
    <w:link w:val="PiedepginaCar"/>
    <w:rsid w:val="00FD76AD"/>
    <w:pPr>
      <w:tabs>
        <w:tab w:val="center" w:pos="4419"/>
        <w:tab w:val="right" w:pos="8838"/>
      </w:tabs>
    </w:pPr>
  </w:style>
  <w:style w:type="character" w:customStyle="1" w:styleId="PiedepginaCar">
    <w:name w:val="Pie de página Car"/>
    <w:basedOn w:val="Fuentedeprrafopredeter"/>
    <w:link w:val="Piedepgina"/>
    <w:rsid w:val="00FD76AD"/>
    <w:rPr>
      <w:rFonts w:ascii="Times New Roman" w:eastAsia="Batang" w:hAnsi="Times New Roman" w:cs="Times New Roman"/>
      <w:lang w:val="es-ES" w:eastAsia="es-ES"/>
    </w:rPr>
  </w:style>
  <w:style w:type="paragraph" w:customStyle="1" w:styleId="ShortHand11">
    <w:name w:val="ShortHand 11"/>
    <w:basedOn w:val="5ComicSans10"/>
    <w:rsid w:val="00FD76AD"/>
    <w:pPr>
      <w:spacing w:line="444" w:lineRule="auto"/>
    </w:pPr>
    <w:rPr>
      <w:rFonts w:ascii="Short Hand" w:hAnsi="Short Hand"/>
      <w:color w:val="000000"/>
      <w:sz w:val="22"/>
      <w:szCs w:val="22"/>
      <w:lang w:eastAsia="es-SV"/>
    </w:rPr>
  </w:style>
  <w:style w:type="paragraph" w:customStyle="1" w:styleId="ShortHand12">
    <w:name w:val="ShortHand 12"/>
    <w:basedOn w:val="ShortHand11"/>
    <w:rsid w:val="00FD76AD"/>
    <w:pPr>
      <w:spacing w:line="408" w:lineRule="auto"/>
    </w:pPr>
    <w:rPr>
      <w:sz w:val="24"/>
      <w:szCs w:val="24"/>
    </w:rPr>
  </w:style>
  <w:style w:type="paragraph" w:customStyle="1" w:styleId="ShortHand10">
    <w:name w:val="ShortHand 10"/>
    <w:basedOn w:val="ShortHand12"/>
    <w:rsid w:val="00FD76AD"/>
    <w:pPr>
      <w:spacing w:line="487" w:lineRule="auto"/>
    </w:pPr>
    <w:rPr>
      <w:sz w:val="20"/>
      <w:szCs w:val="20"/>
    </w:rPr>
  </w:style>
  <w:style w:type="paragraph" w:customStyle="1" w:styleId="Simpson10">
    <w:name w:val="Simpson 10"/>
    <w:basedOn w:val="Normal"/>
    <w:rsid w:val="00FD76AD"/>
    <w:pPr>
      <w:spacing w:line="470" w:lineRule="auto"/>
      <w:jc w:val="both"/>
    </w:pPr>
    <w:rPr>
      <w:rFonts w:ascii="Simpson" w:hAnsi="Simpson"/>
      <w:color w:val="000000"/>
      <w:sz w:val="20"/>
      <w:szCs w:val="20"/>
      <w:lang w:val="es-GT"/>
    </w:rPr>
  </w:style>
  <w:style w:type="paragraph" w:customStyle="1" w:styleId="Simpson11">
    <w:name w:val="Simpson 11"/>
    <w:basedOn w:val="Simpson10"/>
    <w:rsid w:val="00FD76AD"/>
    <w:pPr>
      <w:spacing w:line="427" w:lineRule="auto"/>
    </w:pPr>
    <w:rPr>
      <w:sz w:val="22"/>
      <w:szCs w:val="22"/>
    </w:rPr>
  </w:style>
  <w:style w:type="paragraph" w:customStyle="1" w:styleId="Simpson12">
    <w:name w:val="Simpson 12"/>
    <w:basedOn w:val="Simpson11"/>
    <w:rsid w:val="00FD76AD"/>
    <w:pPr>
      <w:spacing w:line="391" w:lineRule="auto"/>
    </w:pPr>
    <w:rPr>
      <w:sz w:val="24"/>
      <w:szCs w:val="24"/>
    </w:rPr>
  </w:style>
  <w:style w:type="paragraph" w:customStyle="1" w:styleId="Simpson14">
    <w:name w:val="Simpson 14"/>
    <w:basedOn w:val="Simpson12"/>
    <w:rsid w:val="00FD76AD"/>
    <w:pPr>
      <w:spacing w:line="336" w:lineRule="auto"/>
    </w:pPr>
    <w:rPr>
      <w:sz w:val="28"/>
      <w:szCs w:val="28"/>
      <w:lang w:val="es-SV"/>
    </w:rPr>
  </w:style>
  <w:style w:type="paragraph" w:customStyle="1" w:styleId="Simpson13">
    <w:name w:val="Simpson 13"/>
    <w:basedOn w:val="Simpson14"/>
    <w:rsid w:val="00FD76AD"/>
    <w:pPr>
      <w:spacing w:line="362" w:lineRule="auto"/>
    </w:pPr>
    <w:rPr>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printerSettings" Target="printerSettings/printerSettings1.bin"/><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7</Pages>
  <Words>9821</Words>
  <Characters>54018</Characters>
  <Application>Microsoft Macintosh Word</Application>
  <DocSecurity>0</DocSecurity>
  <Lines>450</Lines>
  <Paragraphs>127</Paragraphs>
  <ScaleCrop>false</ScaleCrop>
  <Company>RyOSaL</Company>
  <LinksUpToDate>false</LinksUpToDate>
  <CharactersWithSpaces>63712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Napoleon Rios-Lazo</dc:creator>
  <cp:keywords/>
  <dc:description/>
  <cp:lastModifiedBy>Napoleon Rios-Lazo</cp:lastModifiedBy>
  <cp:revision>3</cp:revision>
  <dcterms:created xsi:type="dcterms:W3CDTF">2011-02-09T15:57:00Z</dcterms:created>
  <dcterms:modified xsi:type="dcterms:W3CDTF">2011-02-09T16:36:00Z</dcterms:modified>
</cp:coreProperties>
</file>