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CFC" w:rsidRDefault="000D1CFC" w:rsidP="000D1CF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CATALOGO DE DERECHOS HUMANOS EN BASE A LA </w:t>
      </w:r>
      <w:r>
        <w:rPr>
          <w:rFonts w:ascii="Times New Roman" w:hAnsi="Times New Roman" w:cs="Times New Roman"/>
          <w:b/>
          <w:bCs/>
          <w:sz w:val="24"/>
          <w:szCs w:val="24"/>
        </w:rPr>
        <w:t>CONVENCION AMERICANA SOBRE DERECHOS HUMANOS.</w:t>
      </w:r>
    </w:p>
    <w:tbl>
      <w:tblPr>
        <w:tblStyle w:val="Tablaconcuadrcula"/>
        <w:tblW w:w="9747" w:type="dxa"/>
        <w:tblLook w:val="04A0" w:firstRow="1" w:lastRow="0" w:firstColumn="1" w:lastColumn="0" w:noHBand="0" w:noVBand="1"/>
      </w:tblPr>
      <w:tblGrid>
        <w:gridCol w:w="2943"/>
        <w:gridCol w:w="1843"/>
        <w:gridCol w:w="4961"/>
      </w:tblGrid>
      <w:tr w:rsidR="000D1CFC"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1CFC" w:rsidRDefault="000D1C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DERECHOS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1CFC" w:rsidRDefault="000D1C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BASE LEGAL (ART.)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1CFC" w:rsidRDefault="000D1C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EN QUE CONSISTE EL DERECHO</w:t>
            </w:r>
          </w:p>
          <w:p w:rsidR="000D1CFC" w:rsidRDefault="000D1C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Jurisprudencia.</w:t>
            </w:r>
          </w:p>
        </w:tc>
      </w:tr>
      <w:tr w:rsidR="000D1CFC"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1CFC" w:rsidRDefault="000D1CFC">
            <w:pPr>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Deber de Adoptar Disposiciones de Derecho Interno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pPr>
              <w:spacing w:after="0" w:line="360" w:lineRule="auto"/>
              <w:jc w:val="both"/>
              <w:rPr>
                <w:rFonts w:ascii="Times New Roman" w:hAnsi="Times New Roman" w:cs="Times New Roman"/>
                <w:sz w:val="24"/>
                <w:szCs w:val="24"/>
              </w:rPr>
            </w:pPr>
          </w:p>
          <w:p w:rsidR="009C0F75" w:rsidRDefault="009C0F75">
            <w:pPr>
              <w:spacing w:after="0" w:line="360" w:lineRule="auto"/>
              <w:jc w:val="both"/>
              <w:rPr>
                <w:rFonts w:ascii="Times New Roman" w:hAnsi="Times New Roman" w:cs="Times New Roman"/>
                <w:sz w:val="24"/>
                <w:szCs w:val="24"/>
              </w:rPr>
            </w:pPr>
          </w:p>
          <w:p w:rsidR="009C0F75" w:rsidRDefault="009C0F75">
            <w:pPr>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2 CADH.</w:t>
            </w:r>
          </w:p>
          <w:p w:rsidR="000D1CFC" w:rsidRDefault="000D1CFC">
            <w:pPr>
              <w:spacing w:after="0" w:line="360" w:lineRule="auto"/>
              <w:jc w:val="both"/>
              <w:rPr>
                <w:rFonts w:ascii="Times New Roman" w:hAnsi="Times New Roman" w:cs="Times New Roman"/>
                <w:sz w:val="24"/>
                <w:szCs w:val="24"/>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1CFC" w:rsidRDefault="000D1CF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Al atribuir funciones de  protección al derecho interno de los Estados Partes.  El hábeas corpus tiene como finalidad, no  solamente garantizar la libertad y la integridad personales, sino también  prevenir la desaparición o indeterminación del lugar de detención y, en última  instancia, asegurar el derecho a la vida (</w:t>
            </w:r>
            <w:r>
              <w:rPr>
                <w:rStyle w:val="Textoennegrita"/>
                <w:rFonts w:ascii="Times New Roman" w:hAnsi="Times New Roman" w:cs="Times New Roman"/>
                <w:sz w:val="24"/>
                <w:szCs w:val="24"/>
              </w:rPr>
              <w:t>Corte IDH. Caso Suárez Rosero Vs. Ecuador. Supervisión de Cumplimiento de Sentencia. Resolución de la Corte Interamericana de Derechos Humanos de 17 de abril de 2015)</w:t>
            </w:r>
          </w:p>
        </w:tc>
      </w:tr>
      <w:tr w:rsidR="000D1CFC"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pPr>
              <w:autoSpaceDE w:val="0"/>
              <w:autoSpaceDN w:val="0"/>
              <w:adjustRightInd w:val="0"/>
              <w:spacing w:after="0" w:line="360" w:lineRule="auto"/>
              <w:jc w:val="both"/>
              <w:rPr>
                <w:rFonts w:ascii="Times New Roman" w:hAnsi="Times New Roman" w:cs="Times New Roman"/>
                <w:sz w:val="24"/>
                <w:szCs w:val="24"/>
              </w:rPr>
            </w:pPr>
          </w:p>
          <w:p w:rsidR="00C84F53" w:rsidRDefault="00C84F53">
            <w:pPr>
              <w:autoSpaceDE w:val="0"/>
              <w:autoSpaceDN w:val="0"/>
              <w:adjustRightInd w:val="0"/>
              <w:spacing w:after="0" w:line="360" w:lineRule="auto"/>
              <w:jc w:val="both"/>
              <w:rPr>
                <w:rFonts w:ascii="Times New Roman" w:hAnsi="Times New Roman" w:cs="Times New Roman"/>
                <w:sz w:val="24"/>
                <w:szCs w:val="24"/>
              </w:rPr>
            </w:pPr>
          </w:p>
          <w:p w:rsidR="00C84F53" w:rsidRDefault="00C84F53">
            <w:pPr>
              <w:autoSpaceDE w:val="0"/>
              <w:autoSpaceDN w:val="0"/>
              <w:adjustRightInd w:val="0"/>
              <w:spacing w:after="0" w:line="360" w:lineRule="auto"/>
              <w:jc w:val="both"/>
              <w:rPr>
                <w:rFonts w:ascii="Times New Roman" w:hAnsi="Times New Roman" w:cs="Times New Roman"/>
                <w:sz w:val="24"/>
                <w:szCs w:val="24"/>
              </w:rPr>
            </w:pPr>
          </w:p>
          <w:p w:rsidR="000D1CFC" w:rsidRDefault="000D1CF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al Reconocimiento de la Personalidad Jurídica</w:t>
            </w:r>
          </w:p>
          <w:p w:rsidR="000D1CFC" w:rsidRDefault="000D1CFC">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pPr>
              <w:spacing w:after="0" w:line="360" w:lineRule="auto"/>
              <w:jc w:val="both"/>
              <w:rPr>
                <w:rFonts w:ascii="Times New Roman" w:hAnsi="Times New Roman" w:cs="Times New Roman"/>
                <w:sz w:val="24"/>
                <w:szCs w:val="24"/>
              </w:rPr>
            </w:pPr>
          </w:p>
          <w:p w:rsidR="00C84F53" w:rsidRDefault="00C84F53">
            <w:pPr>
              <w:spacing w:after="0" w:line="360" w:lineRule="auto"/>
              <w:jc w:val="both"/>
              <w:rPr>
                <w:rFonts w:ascii="Times New Roman" w:hAnsi="Times New Roman" w:cs="Times New Roman"/>
                <w:sz w:val="24"/>
                <w:szCs w:val="24"/>
              </w:rPr>
            </w:pPr>
          </w:p>
          <w:p w:rsidR="00C84F53" w:rsidRDefault="00C84F53">
            <w:pPr>
              <w:spacing w:after="0" w:line="360" w:lineRule="auto"/>
              <w:jc w:val="both"/>
              <w:rPr>
                <w:rFonts w:ascii="Times New Roman" w:hAnsi="Times New Roman" w:cs="Times New Roman"/>
                <w:sz w:val="24"/>
                <w:szCs w:val="24"/>
              </w:rPr>
            </w:pPr>
          </w:p>
          <w:p w:rsidR="000D1CFC" w:rsidRPr="009C0F75" w:rsidRDefault="009C0F75">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A</w:t>
            </w:r>
            <w:r w:rsidR="000D1CFC">
              <w:rPr>
                <w:rFonts w:ascii="Times New Roman" w:hAnsi="Times New Roman" w:cs="Times New Roman"/>
                <w:sz w:val="24"/>
                <w:szCs w:val="24"/>
              </w:rPr>
              <w:t>r</w:t>
            </w:r>
            <w:r w:rsidR="000D1CFC" w:rsidRPr="009C0F75">
              <w:rPr>
                <w:rFonts w:ascii="Times New Roman" w:hAnsi="Times New Roman" w:cs="Times New Roman"/>
                <w:color w:val="000000" w:themeColor="text1"/>
                <w:sz w:val="24"/>
                <w:szCs w:val="24"/>
              </w:rPr>
              <w:t>t 3 CADH</w:t>
            </w:r>
          </w:p>
          <w:p w:rsidR="005140AE" w:rsidRPr="005140AE" w:rsidRDefault="00D02360" w:rsidP="009C0F75">
            <w:pPr>
              <w:spacing w:after="0" w:line="360" w:lineRule="auto"/>
              <w:jc w:val="both"/>
              <w:rPr>
                <w:rFonts w:ascii="Times New Roman" w:hAnsi="Times New Roman" w:cs="Times New Roman"/>
                <w:sz w:val="24"/>
                <w:szCs w:val="24"/>
              </w:rPr>
            </w:pPr>
            <w:hyperlink r:id="rId5" w:anchor="a16" w:history="1">
              <w:r w:rsidR="005140AE" w:rsidRPr="009C0F75">
                <w:rPr>
                  <w:rStyle w:val="Hipervnculo"/>
                  <w:rFonts w:ascii="Times New Roman" w:hAnsi="Times New Roman" w:cs="Times New Roman"/>
                  <w:bCs/>
                  <w:color w:val="000000" w:themeColor="text1"/>
                  <w:sz w:val="24"/>
                  <w:szCs w:val="24"/>
                  <w:u w:val="none"/>
                </w:rPr>
                <w:t>Art. 16</w:t>
              </w:r>
            </w:hyperlink>
            <w:r w:rsidR="005140AE" w:rsidRPr="009C0F75">
              <w:rPr>
                <w:rFonts w:ascii="Times New Roman" w:hAnsi="Times New Roman" w:cs="Times New Roman"/>
                <w:bCs/>
                <w:color w:val="000000" w:themeColor="text1"/>
                <w:sz w:val="24"/>
                <w:szCs w:val="24"/>
              </w:rPr>
              <w:t xml:space="preserve"> </w:t>
            </w:r>
            <w:r w:rsidR="009C0F75">
              <w:rPr>
                <w:rFonts w:ascii="Times New Roman" w:hAnsi="Times New Roman" w:cs="Times New Roman"/>
                <w:color w:val="000000" w:themeColor="text1"/>
                <w:sz w:val="24"/>
                <w:szCs w:val="24"/>
              </w:rPr>
              <w:t>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1CFC" w:rsidRDefault="000D1CFC">
            <w:pPr>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el</w:t>
            </w:r>
            <w:proofErr w:type="gramEnd"/>
            <w:r>
              <w:rPr>
                <w:rFonts w:ascii="Times New Roman" w:hAnsi="Times New Roman" w:cs="Times New Roman"/>
                <w:sz w:val="24"/>
                <w:szCs w:val="24"/>
              </w:rPr>
              <w:t xml:space="preserve"> derecho al reconocimiento de la personalidad  jurídica pueda ser ejercido libre y plenamente por sus titulares. Dicho reconocimiento  determina su existencia efectiva ante la sociedad y el Estado, lo que le permite ser titular de derechos y obligaciones, ejercerlos y tener capacidad de  actuar, lo cual constituye un derecho inherente al ser humano (</w:t>
            </w:r>
            <w:r>
              <w:rPr>
                <w:rStyle w:val="Textoennegrita"/>
                <w:rFonts w:ascii="Times New Roman" w:hAnsi="Times New Roman" w:cs="Times New Roman"/>
                <w:sz w:val="24"/>
                <w:szCs w:val="24"/>
              </w:rPr>
              <w:t xml:space="preserve">Corte IDH. Caso </w:t>
            </w:r>
            <w:proofErr w:type="spellStart"/>
            <w:r>
              <w:rPr>
                <w:rStyle w:val="Textoennegrita"/>
                <w:rFonts w:ascii="Times New Roman" w:hAnsi="Times New Roman" w:cs="Times New Roman"/>
                <w:sz w:val="24"/>
                <w:szCs w:val="24"/>
              </w:rPr>
              <w:t>Ibsen</w:t>
            </w:r>
            <w:proofErr w:type="spellEnd"/>
            <w:r>
              <w:rPr>
                <w:rStyle w:val="Textoennegrita"/>
                <w:rFonts w:ascii="Times New Roman" w:hAnsi="Times New Roman" w:cs="Times New Roman"/>
                <w:sz w:val="24"/>
                <w:szCs w:val="24"/>
              </w:rPr>
              <w:t xml:space="preserve"> Cárdenas e </w:t>
            </w:r>
            <w:proofErr w:type="spellStart"/>
            <w:r>
              <w:rPr>
                <w:rStyle w:val="Textoennegrita"/>
                <w:rFonts w:ascii="Times New Roman" w:hAnsi="Times New Roman" w:cs="Times New Roman"/>
                <w:sz w:val="24"/>
                <w:szCs w:val="24"/>
              </w:rPr>
              <w:t>Ibsen</w:t>
            </w:r>
            <w:proofErr w:type="spellEnd"/>
            <w:r>
              <w:rPr>
                <w:rStyle w:val="Textoennegrita"/>
                <w:rFonts w:ascii="Times New Roman" w:hAnsi="Times New Roman" w:cs="Times New Roman"/>
                <w:sz w:val="24"/>
                <w:szCs w:val="24"/>
              </w:rPr>
              <w:t xml:space="preserve"> Peña Vs. Bolivia. Resolución de la Corte Interamericana de Derechos Humanos de 14 de octubre de 2014)</w:t>
            </w:r>
          </w:p>
        </w:tc>
      </w:tr>
      <w:tr w:rsidR="000D1CFC"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1CFC" w:rsidRDefault="000D1CF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a la Vida</w:t>
            </w:r>
          </w:p>
          <w:p w:rsidR="000D1CFC" w:rsidRDefault="000D1CFC">
            <w:pPr>
              <w:autoSpaceDE w:val="0"/>
              <w:autoSpaceDN w:val="0"/>
              <w:adjustRightInd w:val="0"/>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140AE" w:rsidRDefault="000D1CF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4 CADH</w:t>
            </w:r>
          </w:p>
          <w:p w:rsidR="009C0F75" w:rsidRDefault="009C0F7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6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D1CFC" w:rsidRDefault="009C0F7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0D1CFC">
              <w:rPr>
                <w:rFonts w:ascii="Times New Roman" w:hAnsi="Times New Roman" w:cs="Times New Roman"/>
                <w:sz w:val="24"/>
                <w:szCs w:val="24"/>
              </w:rPr>
              <w:t xml:space="preserve">u jurisprudencia según la cual una norma de la Convención debe interpretarse  de buena fe vida humana, la Corte  considera que se trata de una </w:t>
            </w:r>
            <w:r w:rsidR="000D1CFC">
              <w:rPr>
                <w:rFonts w:ascii="Times New Roman" w:hAnsi="Times New Roman" w:cs="Times New Roman"/>
                <w:sz w:val="24"/>
                <w:szCs w:val="24"/>
              </w:rPr>
              <w:lastRenderedPageBreak/>
              <w:t xml:space="preserve">cuestión valorada de diversas formas desde una  perspectiva biológica, médica, ética, moral, filosófica y religiosa, y coincide  con tribunales internacionales y nacionales, en el sentido que no existe una  definición consensuada sobre el inicio de la vida. Sin embargo, para la Corte es  claro que hay concepciones que ven en los óvulos fecundados una vida humana  plena </w:t>
            </w:r>
            <w:r w:rsidR="000D1CFC">
              <w:rPr>
                <w:rStyle w:val="Textoennegrita"/>
                <w:rFonts w:ascii="Times New Roman" w:hAnsi="Times New Roman" w:cs="Times New Roman"/>
                <w:sz w:val="24"/>
                <w:szCs w:val="24"/>
              </w:rPr>
              <w:t xml:space="preserve">Corte IDH. Caso </w:t>
            </w:r>
            <w:proofErr w:type="spellStart"/>
            <w:r w:rsidR="000D1CFC">
              <w:rPr>
                <w:rStyle w:val="Textoennegrita"/>
                <w:rFonts w:ascii="Times New Roman" w:hAnsi="Times New Roman" w:cs="Times New Roman"/>
                <w:sz w:val="24"/>
                <w:szCs w:val="24"/>
              </w:rPr>
              <w:t>Artavia</w:t>
            </w:r>
            <w:proofErr w:type="spellEnd"/>
            <w:r w:rsidR="000D1CFC">
              <w:rPr>
                <w:rStyle w:val="Textoennegrita"/>
                <w:rFonts w:ascii="Times New Roman" w:hAnsi="Times New Roman" w:cs="Times New Roman"/>
                <w:sz w:val="24"/>
                <w:szCs w:val="24"/>
              </w:rPr>
              <w:t xml:space="preserve"> Murillo y otros ("Fecundación in vitro") Vs. Costa Rica. Resolución de la Corte Interamericana de Derechos Humanos de 31 de marzo de 2014.</w:t>
            </w:r>
          </w:p>
        </w:tc>
      </w:tr>
      <w:tr w:rsidR="000D1CFC"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1CFC" w:rsidRDefault="000D1CFC">
            <w:pPr>
              <w:autoSpaceDE w:val="0"/>
              <w:autoSpaceDN w:val="0"/>
              <w:adjustRightInd w:val="0"/>
              <w:spacing w:after="0" w:line="360" w:lineRule="auto"/>
              <w:jc w:val="both"/>
              <w:rPr>
                <w:rFonts w:ascii="Times New Roman" w:hAnsi="Times New Roman" w:cs="Times New Roman"/>
                <w:sz w:val="24"/>
                <w:szCs w:val="24"/>
              </w:rPr>
            </w:pPr>
          </w:p>
          <w:p w:rsidR="000D1CFC" w:rsidRDefault="000D1CFC">
            <w:pPr>
              <w:autoSpaceDE w:val="0"/>
              <w:autoSpaceDN w:val="0"/>
              <w:adjustRightInd w:val="0"/>
              <w:spacing w:after="0" w:line="360" w:lineRule="auto"/>
              <w:jc w:val="both"/>
              <w:rPr>
                <w:rFonts w:ascii="Times New Roman" w:hAnsi="Times New Roman" w:cs="Times New Roman"/>
                <w:sz w:val="24"/>
                <w:szCs w:val="24"/>
              </w:rPr>
            </w:pPr>
          </w:p>
          <w:p w:rsidR="000D1CFC" w:rsidRDefault="000D1CFC">
            <w:pPr>
              <w:autoSpaceDE w:val="0"/>
              <w:autoSpaceDN w:val="0"/>
              <w:adjustRightInd w:val="0"/>
              <w:spacing w:after="0" w:line="360" w:lineRule="auto"/>
              <w:jc w:val="both"/>
              <w:rPr>
                <w:rFonts w:ascii="Times New Roman" w:hAnsi="Times New Roman" w:cs="Times New Roman"/>
                <w:sz w:val="24"/>
                <w:szCs w:val="24"/>
              </w:rPr>
            </w:pPr>
          </w:p>
          <w:p w:rsidR="000D1CFC" w:rsidRDefault="000D1CFC">
            <w:pPr>
              <w:autoSpaceDE w:val="0"/>
              <w:autoSpaceDN w:val="0"/>
              <w:adjustRightInd w:val="0"/>
              <w:spacing w:after="0" w:line="360" w:lineRule="auto"/>
              <w:jc w:val="both"/>
              <w:rPr>
                <w:rFonts w:ascii="Times New Roman" w:hAnsi="Times New Roman" w:cs="Times New Roman"/>
                <w:sz w:val="24"/>
                <w:szCs w:val="24"/>
              </w:rPr>
            </w:pPr>
          </w:p>
          <w:p w:rsidR="000D1CFC" w:rsidRDefault="000D1CF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a la Integridad Personal</w:t>
            </w:r>
          </w:p>
          <w:p w:rsidR="000D1CFC" w:rsidRDefault="000D1CFC">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1CFC" w:rsidRDefault="000D1CFC">
            <w:pPr>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p>
          <w:p w:rsidR="000D1CFC" w:rsidRDefault="000D1CFC">
            <w:pPr>
              <w:spacing w:after="0" w:line="360" w:lineRule="auto"/>
              <w:jc w:val="both"/>
              <w:rPr>
                <w:rFonts w:ascii="Times New Roman" w:hAnsi="Times New Roman" w:cs="Times New Roman"/>
                <w:sz w:val="24"/>
                <w:szCs w:val="24"/>
              </w:rPr>
            </w:pPr>
          </w:p>
          <w:p w:rsidR="000D1CFC" w:rsidRDefault="000D1CFC" w:rsidP="005140A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5 CADH</w:t>
            </w:r>
          </w:p>
          <w:p w:rsidR="005842F5" w:rsidRDefault="005842F5" w:rsidP="005140AE">
            <w:pPr>
              <w:spacing w:after="0" w:line="360" w:lineRule="auto"/>
              <w:jc w:val="both"/>
              <w:rPr>
                <w:rFonts w:ascii="Times New Roman" w:hAnsi="Times New Roman" w:cs="Times New Roman"/>
                <w:sz w:val="24"/>
                <w:szCs w:val="24"/>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D1CFC" w:rsidRDefault="000D1CFC">
            <w:pPr>
              <w:pStyle w:val="NormalWeb"/>
              <w:spacing w:before="0" w:beforeAutospacing="0" w:after="0" w:afterAutospacing="0" w:line="360" w:lineRule="auto"/>
              <w:jc w:val="both"/>
              <w:textAlignment w:val="top"/>
              <w:rPr>
                <w:lang w:eastAsia="en-US"/>
              </w:rPr>
            </w:pPr>
            <w:r>
              <w:rPr>
                <w:lang w:eastAsia="en-US"/>
              </w:rPr>
              <w:t xml:space="preserve">. La jurisprudencia de este  Tribunal ha señalado como elementos concurrentes y constitutivos de la  desaparición forzada: a) la privación de la libertad; b) la intervención  directa de agentes estatales o la aquiescencia de éstos, y c) la negativa de  reconocer la detención y de revelar la suerte o el paradero de la persona  interesada. </w:t>
            </w:r>
          </w:p>
          <w:p w:rsidR="000D1CFC" w:rsidRDefault="000D1CFC">
            <w:pPr>
              <w:pStyle w:val="NormalWeb"/>
              <w:spacing w:before="0" w:beforeAutospacing="0" w:after="0" w:afterAutospacing="0" w:line="360" w:lineRule="auto"/>
              <w:jc w:val="both"/>
              <w:textAlignment w:val="top"/>
              <w:rPr>
                <w:lang w:eastAsia="en-US"/>
              </w:rPr>
            </w:pPr>
            <w:r>
              <w:rPr>
                <w:lang w:eastAsia="en-US"/>
              </w:rPr>
              <w:t xml:space="preserve">Al  respecto, esta Corte ha señalado que “la  privación de libertad con la cual inicia una desaparición forzada, cualquiera  que fuere su forma </w:t>
            </w:r>
            <w:r>
              <w:rPr>
                <w:rStyle w:val="Textoennegrita"/>
                <w:lang w:eastAsia="en-US"/>
              </w:rPr>
              <w:t xml:space="preserve">Corte IDH. Casos Masacres de Río Negro y </w:t>
            </w:r>
            <w:proofErr w:type="spellStart"/>
            <w:r>
              <w:rPr>
                <w:rStyle w:val="Textoennegrita"/>
                <w:lang w:eastAsia="en-US"/>
              </w:rPr>
              <w:t>Gudiel</w:t>
            </w:r>
            <w:proofErr w:type="spellEnd"/>
            <w:r>
              <w:rPr>
                <w:rStyle w:val="Textoennegrita"/>
                <w:lang w:eastAsia="en-US"/>
              </w:rPr>
              <w:t xml:space="preserve"> Álvarez y otros Vs. Guatemala. Supervisión de Cumplimiento de Sentencia. Resolución de la Corte Interamericana de Derechos Humanos de 21 de agosto de 2014</w:t>
            </w:r>
          </w:p>
          <w:p w:rsidR="000D1CFC" w:rsidRDefault="000D1CFC">
            <w:pPr>
              <w:autoSpaceDE w:val="0"/>
              <w:autoSpaceDN w:val="0"/>
              <w:adjustRightInd w:val="0"/>
              <w:spacing w:after="0" w:line="360" w:lineRule="auto"/>
              <w:jc w:val="both"/>
              <w:rPr>
                <w:rFonts w:ascii="Times New Roman" w:hAnsi="Times New Roman" w:cs="Times New Roman"/>
                <w:sz w:val="24"/>
                <w:szCs w:val="24"/>
              </w:rPr>
            </w:pPr>
          </w:p>
        </w:tc>
      </w:tr>
      <w:tr w:rsidR="000D1CFC"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pPr>
              <w:autoSpaceDE w:val="0"/>
              <w:autoSpaceDN w:val="0"/>
              <w:adjustRightInd w:val="0"/>
              <w:spacing w:after="0" w:line="360" w:lineRule="auto"/>
              <w:jc w:val="both"/>
              <w:rPr>
                <w:rFonts w:ascii="Times New Roman" w:hAnsi="Times New Roman" w:cs="Times New Roman"/>
                <w:sz w:val="24"/>
                <w:szCs w:val="24"/>
              </w:rPr>
            </w:pPr>
          </w:p>
          <w:p w:rsidR="009C0F75" w:rsidRDefault="009C0F75">
            <w:pPr>
              <w:autoSpaceDE w:val="0"/>
              <w:autoSpaceDN w:val="0"/>
              <w:adjustRightInd w:val="0"/>
              <w:spacing w:after="0" w:line="360" w:lineRule="auto"/>
              <w:jc w:val="both"/>
              <w:rPr>
                <w:rFonts w:ascii="Times New Roman" w:hAnsi="Times New Roman" w:cs="Times New Roman"/>
                <w:sz w:val="24"/>
                <w:szCs w:val="24"/>
              </w:rPr>
            </w:pPr>
          </w:p>
          <w:p w:rsidR="009C0F75" w:rsidRDefault="009C0F75">
            <w:pPr>
              <w:autoSpaceDE w:val="0"/>
              <w:autoSpaceDN w:val="0"/>
              <w:adjustRightInd w:val="0"/>
              <w:spacing w:after="0" w:line="360" w:lineRule="auto"/>
              <w:jc w:val="both"/>
              <w:rPr>
                <w:rFonts w:ascii="Times New Roman" w:hAnsi="Times New Roman" w:cs="Times New Roman"/>
                <w:sz w:val="24"/>
                <w:szCs w:val="24"/>
              </w:rPr>
            </w:pPr>
          </w:p>
          <w:p w:rsidR="009C0F75" w:rsidRDefault="009C0F75">
            <w:pPr>
              <w:autoSpaceDE w:val="0"/>
              <w:autoSpaceDN w:val="0"/>
              <w:adjustRightInd w:val="0"/>
              <w:spacing w:after="0" w:line="360" w:lineRule="auto"/>
              <w:jc w:val="both"/>
              <w:rPr>
                <w:rFonts w:ascii="Times New Roman" w:hAnsi="Times New Roman" w:cs="Times New Roman"/>
                <w:sz w:val="24"/>
                <w:szCs w:val="24"/>
              </w:rPr>
            </w:pPr>
          </w:p>
          <w:p w:rsidR="009C0F75" w:rsidRDefault="009C0F75">
            <w:pPr>
              <w:autoSpaceDE w:val="0"/>
              <w:autoSpaceDN w:val="0"/>
              <w:adjustRightInd w:val="0"/>
              <w:spacing w:after="0" w:line="360" w:lineRule="auto"/>
              <w:jc w:val="both"/>
              <w:rPr>
                <w:rFonts w:ascii="Times New Roman" w:hAnsi="Times New Roman" w:cs="Times New Roman"/>
                <w:sz w:val="24"/>
                <w:szCs w:val="24"/>
              </w:rPr>
            </w:pPr>
          </w:p>
          <w:p w:rsidR="009C0F75" w:rsidRDefault="009C0F75">
            <w:pPr>
              <w:autoSpaceDE w:val="0"/>
              <w:autoSpaceDN w:val="0"/>
              <w:adjustRightInd w:val="0"/>
              <w:spacing w:after="0" w:line="360" w:lineRule="auto"/>
              <w:jc w:val="both"/>
              <w:rPr>
                <w:rFonts w:ascii="Times New Roman" w:hAnsi="Times New Roman" w:cs="Times New Roman"/>
                <w:sz w:val="24"/>
                <w:szCs w:val="24"/>
              </w:rPr>
            </w:pPr>
          </w:p>
          <w:p w:rsidR="000D1CFC" w:rsidRDefault="000D1CF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a la Libertad Personal</w:t>
            </w:r>
          </w:p>
          <w:p w:rsidR="000D1CFC" w:rsidRDefault="000D1CFC">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pPr>
              <w:spacing w:after="0" w:line="360" w:lineRule="auto"/>
              <w:jc w:val="both"/>
              <w:rPr>
                <w:rFonts w:ascii="Times New Roman" w:hAnsi="Times New Roman" w:cs="Times New Roman"/>
                <w:sz w:val="24"/>
                <w:szCs w:val="24"/>
                <w:lang w:val="en-US"/>
              </w:rPr>
            </w:pPr>
          </w:p>
          <w:p w:rsidR="009C0F75" w:rsidRDefault="009C0F75">
            <w:pPr>
              <w:spacing w:after="0" w:line="360" w:lineRule="auto"/>
              <w:jc w:val="both"/>
              <w:rPr>
                <w:rFonts w:ascii="Times New Roman" w:hAnsi="Times New Roman" w:cs="Times New Roman"/>
                <w:sz w:val="24"/>
                <w:szCs w:val="24"/>
                <w:lang w:val="en-US"/>
              </w:rPr>
            </w:pPr>
          </w:p>
          <w:p w:rsidR="009C0F75" w:rsidRDefault="009C0F75">
            <w:pPr>
              <w:spacing w:after="0" w:line="360" w:lineRule="auto"/>
              <w:jc w:val="both"/>
              <w:rPr>
                <w:rFonts w:ascii="Times New Roman" w:hAnsi="Times New Roman" w:cs="Times New Roman"/>
                <w:sz w:val="24"/>
                <w:szCs w:val="24"/>
                <w:lang w:val="en-US"/>
              </w:rPr>
            </w:pPr>
          </w:p>
          <w:p w:rsidR="009C0F75" w:rsidRDefault="009C0F75">
            <w:pPr>
              <w:spacing w:after="0" w:line="360" w:lineRule="auto"/>
              <w:jc w:val="both"/>
              <w:rPr>
                <w:rFonts w:ascii="Times New Roman" w:hAnsi="Times New Roman" w:cs="Times New Roman"/>
                <w:sz w:val="24"/>
                <w:szCs w:val="24"/>
                <w:lang w:val="en-US"/>
              </w:rPr>
            </w:pPr>
          </w:p>
          <w:p w:rsidR="009C0F75" w:rsidRDefault="009C0F75">
            <w:pPr>
              <w:spacing w:after="0" w:line="360" w:lineRule="auto"/>
              <w:jc w:val="both"/>
              <w:rPr>
                <w:rFonts w:ascii="Times New Roman" w:hAnsi="Times New Roman" w:cs="Times New Roman"/>
                <w:sz w:val="24"/>
                <w:szCs w:val="24"/>
                <w:lang w:val="en-US"/>
              </w:rPr>
            </w:pPr>
          </w:p>
          <w:p w:rsidR="000D1CFC" w:rsidRPr="0068326E" w:rsidRDefault="000D1CFC">
            <w:pPr>
              <w:spacing w:after="0" w:line="360" w:lineRule="auto"/>
              <w:jc w:val="both"/>
              <w:rPr>
                <w:rFonts w:ascii="Times New Roman" w:hAnsi="Times New Roman" w:cs="Times New Roman"/>
                <w:sz w:val="24"/>
                <w:szCs w:val="24"/>
                <w:lang w:val="en-US"/>
              </w:rPr>
            </w:pPr>
            <w:r w:rsidRPr="0068326E">
              <w:rPr>
                <w:rFonts w:ascii="Times New Roman" w:hAnsi="Times New Roman" w:cs="Times New Roman"/>
                <w:sz w:val="24"/>
                <w:szCs w:val="24"/>
                <w:lang w:val="en-US"/>
              </w:rPr>
              <w:t>Art. 7 CADH</w:t>
            </w:r>
          </w:p>
          <w:p w:rsidR="006D5259" w:rsidRPr="0068326E" w:rsidRDefault="00D02360" w:rsidP="006D5259">
            <w:pPr>
              <w:spacing w:after="0" w:line="240" w:lineRule="auto"/>
              <w:rPr>
                <w:rFonts w:ascii="Times New Roman" w:eastAsia="Times New Roman" w:hAnsi="Times New Roman" w:cs="Times New Roman"/>
                <w:color w:val="000000" w:themeColor="text1"/>
                <w:sz w:val="24"/>
                <w:szCs w:val="24"/>
                <w:lang w:val="en-US" w:eastAsia="es-SV"/>
              </w:rPr>
            </w:pPr>
            <w:hyperlink r:id="rId6" w:anchor="a9" w:history="1">
              <w:r w:rsidR="006D5259" w:rsidRPr="0068326E">
                <w:rPr>
                  <w:rFonts w:ascii="Times New Roman" w:eastAsia="Times New Roman" w:hAnsi="Times New Roman" w:cs="Times New Roman"/>
                  <w:bCs/>
                  <w:color w:val="000000" w:themeColor="text1"/>
                  <w:sz w:val="24"/>
                  <w:szCs w:val="24"/>
                  <w:lang w:val="en-US" w:eastAsia="es-SV"/>
                </w:rPr>
                <w:t>Art.9</w:t>
              </w:r>
            </w:hyperlink>
            <w:r w:rsidR="0068326E" w:rsidRPr="0068326E">
              <w:rPr>
                <w:rFonts w:ascii="Times New Roman" w:hAnsi="Times New Roman" w:cs="Times New Roman"/>
                <w:color w:val="000000" w:themeColor="text1"/>
                <w:sz w:val="24"/>
                <w:szCs w:val="24"/>
                <w:lang w:val="en-US"/>
              </w:rPr>
              <w:t xml:space="preserve"> PIDCP</w:t>
            </w:r>
          </w:p>
          <w:p w:rsidR="006D5259" w:rsidRPr="0068326E" w:rsidRDefault="00D02360" w:rsidP="006D5259">
            <w:pPr>
              <w:spacing w:after="0" w:line="240" w:lineRule="auto"/>
              <w:rPr>
                <w:rFonts w:ascii="Times New Roman" w:eastAsia="Times New Roman" w:hAnsi="Times New Roman" w:cs="Times New Roman"/>
                <w:color w:val="000000" w:themeColor="text1"/>
                <w:sz w:val="24"/>
                <w:szCs w:val="24"/>
                <w:lang w:val="en-US" w:eastAsia="es-SV"/>
              </w:rPr>
            </w:pPr>
            <w:hyperlink r:id="rId7" w:anchor="a19" w:history="1">
              <w:r w:rsidR="006D5259" w:rsidRPr="0068326E">
                <w:rPr>
                  <w:rFonts w:ascii="Times New Roman" w:eastAsia="Times New Roman" w:hAnsi="Times New Roman" w:cs="Times New Roman"/>
                  <w:bCs/>
                  <w:color w:val="000000" w:themeColor="text1"/>
                  <w:sz w:val="24"/>
                  <w:szCs w:val="24"/>
                  <w:lang w:val="en-US" w:eastAsia="es-SV"/>
                </w:rPr>
                <w:t>Art. 19</w:t>
              </w:r>
            </w:hyperlink>
            <w:r w:rsidR="0068326E" w:rsidRPr="0068326E">
              <w:rPr>
                <w:rFonts w:ascii="Times New Roman" w:hAnsi="Times New Roman" w:cs="Times New Roman"/>
                <w:color w:val="000000" w:themeColor="text1"/>
                <w:sz w:val="24"/>
                <w:szCs w:val="24"/>
                <w:lang w:val="en-US"/>
              </w:rPr>
              <w:t xml:space="preserve"> PIDCP</w:t>
            </w:r>
          </w:p>
          <w:p w:rsidR="006D5259" w:rsidRPr="0068326E" w:rsidRDefault="006D5259">
            <w:pPr>
              <w:spacing w:after="0" w:line="360" w:lineRule="auto"/>
              <w:jc w:val="both"/>
              <w:rPr>
                <w:rFonts w:ascii="Times New Roman" w:hAnsi="Times New Roman" w:cs="Times New Roman"/>
                <w:sz w:val="24"/>
                <w:szCs w:val="24"/>
                <w:lang w:val="en-US"/>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Pr="00267127" w:rsidRDefault="00C84F53">
            <w:pPr>
              <w:autoSpaceDE w:val="0"/>
              <w:autoSpaceDN w:val="0"/>
              <w:adjustRightInd w:val="0"/>
              <w:spacing w:after="0" w:line="360" w:lineRule="auto"/>
              <w:jc w:val="both"/>
              <w:rPr>
                <w:rFonts w:ascii="Times New Roman" w:hAnsi="Times New Roman" w:cs="Times New Roman"/>
                <w:sz w:val="24"/>
                <w:szCs w:val="24"/>
                <w:lang w:val="en-US"/>
              </w:rPr>
            </w:pPr>
          </w:p>
          <w:p w:rsidR="000D1CFC" w:rsidRDefault="0068326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0D1CFC">
              <w:rPr>
                <w:rFonts w:ascii="Times New Roman" w:hAnsi="Times New Roman" w:cs="Times New Roman"/>
                <w:sz w:val="24"/>
                <w:szCs w:val="24"/>
              </w:rPr>
              <w:t xml:space="preserve">ibertad personal debe darse únicamente por las </w:t>
            </w:r>
            <w:r w:rsidR="000D1CFC">
              <w:rPr>
                <w:rFonts w:ascii="Times New Roman" w:hAnsi="Times New Roman" w:cs="Times New Roman"/>
                <w:sz w:val="24"/>
                <w:szCs w:val="24"/>
              </w:rPr>
              <w:lastRenderedPageBreak/>
              <w:t xml:space="preserve">causas y en las  condiciones fijadas de antemano por las Constituciones Políticas o por las  leyes dictadas conforme a ellas (aspecto material), y además, con estricta  sujeción a los procedimientos objetivamente definidos en la misma (aspecto  formal) la Corte concluye que el Estado es responsable por  la violación de los derechos a la libertad personal, la integridad personal, la  vida y el reconocimiento de la personalidad jurídica. </w:t>
            </w:r>
            <w:r w:rsidR="000D1CFC">
              <w:rPr>
                <w:rStyle w:val="Textoennegrita"/>
                <w:rFonts w:ascii="Times New Roman" w:hAnsi="Times New Roman" w:cs="Times New Roman"/>
                <w:sz w:val="24"/>
                <w:szCs w:val="24"/>
              </w:rPr>
              <w:t>Corte IDH. Caso García y Familiares Vs. Guatemala. Fondo Reparaciones y Costas. Sentencia de 29 noviembre de 2012 Serie C No. 258</w:t>
            </w:r>
            <w:r w:rsidR="000D1CFC">
              <w:rPr>
                <w:rFonts w:ascii="Times New Roman" w:hAnsi="Times New Roman" w:cs="Times New Roman"/>
                <w:sz w:val="24"/>
                <w:szCs w:val="24"/>
              </w:rPr>
              <w:t xml:space="preserve"> </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a Indemnización</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26E" w:rsidRDefault="0068326E" w:rsidP="004A5F71">
            <w:pPr>
              <w:spacing w:after="0" w:line="360" w:lineRule="auto"/>
              <w:jc w:val="both"/>
              <w:rPr>
                <w:rFonts w:ascii="Times New Roman" w:hAnsi="Times New Roman" w:cs="Times New Roman"/>
                <w:color w:val="000000" w:themeColor="text1"/>
                <w:sz w:val="24"/>
                <w:szCs w:val="24"/>
              </w:rPr>
            </w:pPr>
          </w:p>
          <w:p w:rsidR="004A5F71" w:rsidRPr="0068326E" w:rsidRDefault="0068326E" w:rsidP="004A5F71">
            <w:pPr>
              <w:spacing w:after="0" w:line="360" w:lineRule="auto"/>
              <w:jc w:val="both"/>
              <w:rPr>
                <w:rFonts w:ascii="Times New Roman" w:hAnsi="Times New Roman" w:cs="Times New Roman"/>
                <w:color w:val="000000" w:themeColor="text1"/>
                <w:sz w:val="24"/>
                <w:szCs w:val="24"/>
              </w:rPr>
            </w:pPr>
            <w:r w:rsidRPr="0068326E">
              <w:rPr>
                <w:rFonts w:ascii="Times New Roman" w:hAnsi="Times New Roman" w:cs="Times New Roman"/>
                <w:color w:val="000000" w:themeColor="text1"/>
                <w:sz w:val="24"/>
                <w:szCs w:val="24"/>
              </w:rPr>
              <w:t xml:space="preserve">Art. </w:t>
            </w:r>
            <w:r w:rsidR="004A5F71" w:rsidRPr="0068326E">
              <w:rPr>
                <w:rFonts w:ascii="Times New Roman" w:hAnsi="Times New Roman" w:cs="Times New Roman"/>
                <w:color w:val="000000" w:themeColor="text1"/>
                <w:sz w:val="24"/>
                <w:szCs w:val="24"/>
              </w:rPr>
              <w:t xml:space="preserve"> 10.</w:t>
            </w:r>
            <w:r w:rsidRPr="0068326E">
              <w:rPr>
                <w:rFonts w:ascii="Times New Roman" w:hAnsi="Times New Roman" w:cs="Times New Roman"/>
                <w:color w:val="000000" w:themeColor="text1"/>
                <w:sz w:val="24"/>
                <w:szCs w:val="24"/>
              </w:rPr>
              <w:t>CADH</w:t>
            </w:r>
          </w:p>
          <w:p w:rsidR="004A5F71" w:rsidRDefault="00D02360" w:rsidP="004A5F71">
            <w:pPr>
              <w:spacing w:after="0" w:line="360" w:lineRule="auto"/>
              <w:jc w:val="both"/>
              <w:rPr>
                <w:rFonts w:ascii="Times New Roman" w:hAnsi="Times New Roman" w:cs="Times New Roman"/>
                <w:sz w:val="24"/>
                <w:szCs w:val="24"/>
              </w:rPr>
            </w:pPr>
            <w:hyperlink r:id="rId8" w:anchor="a14" w:history="1">
              <w:r w:rsidR="004A5F71" w:rsidRPr="0068326E">
                <w:rPr>
                  <w:rStyle w:val="Hipervnculo"/>
                  <w:rFonts w:ascii="Times New Roman" w:hAnsi="Times New Roman" w:cs="Times New Roman"/>
                  <w:bCs/>
                  <w:color w:val="000000" w:themeColor="text1"/>
                  <w:sz w:val="24"/>
                  <w:szCs w:val="24"/>
                  <w:u w:val="none"/>
                </w:rPr>
                <w:t>Art. 14.6</w:t>
              </w:r>
            </w:hyperlink>
            <w:r w:rsidR="0068326E" w:rsidRPr="0068326E">
              <w:rPr>
                <w:rFonts w:ascii="Times New Roman" w:hAnsi="Times New Roman" w:cs="Times New Roman"/>
                <w:color w:val="000000" w:themeColor="text1"/>
                <w:sz w:val="24"/>
                <w:szCs w:val="24"/>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Toda persona tiene derecho a ser indemnizada conforme a la ley en caso de haber sido condenada en sentencia firme por error judicial. </w:t>
            </w:r>
            <w:r>
              <w:rPr>
                <w:rStyle w:val="Textoennegrita"/>
                <w:rFonts w:ascii="Times New Roman" w:hAnsi="Times New Roman" w:cs="Times New Roman"/>
                <w:sz w:val="24"/>
                <w:szCs w:val="24"/>
              </w:rPr>
              <w:t xml:space="preserve">Corte IDH. Caso Baena Ricardo y otros Vs. </w:t>
            </w:r>
            <w:proofErr w:type="gramStart"/>
            <w:r>
              <w:rPr>
                <w:rStyle w:val="Textoennegrita"/>
                <w:rFonts w:ascii="Times New Roman" w:hAnsi="Times New Roman" w:cs="Times New Roman"/>
                <w:sz w:val="24"/>
                <w:szCs w:val="24"/>
              </w:rPr>
              <w:t>Panamá .</w:t>
            </w:r>
            <w:proofErr w:type="gramEnd"/>
            <w:r>
              <w:rPr>
                <w:rStyle w:val="Textoennegrita"/>
                <w:rFonts w:ascii="Times New Roman" w:hAnsi="Times New Roman" w:cs="Times New Roman"/>
                <w:sz w:val="24"/>
                <w:szCs w:val="24"/>
              </w:rPr>
              <w:t xml:space="preserve"> Supervisión de Cumplimiento de Sentencia. Resolución de la Corte Interamericana de Derechos Humanos 28 de junio de 2012.</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Protección de la Honra y de la Dignidad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Art. 11 CADH</w:t>
            </w:r>
          </w:p>
          <w:p w:rsidR="004A5F71" w:rsidRPr="0068326E" w:rsidRDefault="00D02360" w:rsidP="004A5F71">
            <w:pPr>
              <w:spacing w:after="0" w:line="360" w:lineRule="auto"/>
              <w:jc w:val="both"/>
              <w:rPr>
                <w:rFonts w:ascii="Times New Roman" w:hAnsi="Times New Roman" w:cs="Times New Roman"/>
                <w:color w:val="000000" w:themeColor="text1"/>
                <w:sz w:val="24"/>
                <w:szCs w:val="24"/>
              </w:rPr>
            </w:pPr>
            <w:hyperlink r:id="rId9" w:anchor="a10" w:history="1">
              <w:r w:rsidR="004A5F71" w:rsidRPr="0068326E">
                <w:rPr>
                  <w:rStyle w:val="Hipervnculo"/>
                  <w:rFonts w:ascii="Times New Roman" w:hAnsi="Times New Roman" w:cs="Times New Roman"/>
                  <w:bCs/>
                  <w:color w:val="000000" w:themeColor="text1"/>
                  <w:sz w:val="24"/>
                  <w:szCs w:val="24"/>
                  <w:u w:val="none"/>
                </w:rPr>
                <w:t>Art. 10.1</w:t>
              </w:r>
            </w:hyperlink>
            <w:r w:rsidR="0068326E" w:rsidRPr="0068326E">
              <w:rPr>
                <w:rFonts w:ascii="Times New Roman" w:hAnsi="Times New Roman" w:cs="Times New Roman"/>
                <w:color w:val="000000" w:themeColor="text1"/>
                <w:sz w:val="24"/>
                <w:szCs w:val="24"/>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Toda persona tiene derecho al respeto de su honra y al reconocimiento de su dignidad.</w:t>
            </w: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Nadie puede ser objeto de injerencias arbitrarias o abusivas en su vida privada, en la de su familia, en su domicilio o en su correspondencia, ni de ataques ilegales a su honra reputación. </w:t>
            </w:r>
            <w:r>
              <w:rPr>
                <w:rStyle w:val="Textoennegrita"/>
                <w:rFonts w:ascii="Times New Roman" w:hAnsi="Times New Roman" w:cs="Times New Roman"/>
                <w:sz w:val="24"/>
                <w:szCs w:val="24"/>
              </w:rPr>
              <w:t xml:space="preserve">Corte IDH. Caso </w:t>
            </w:r>
            <w:proofErr w:type="spellStart"/>
            <w:r>
              <w:rPr>
                <w:rStyle w:val="Textoennegrita"/>
                <w:rFonts w:ascii="Times New Roman" w:hAnsi="Times New Roman" w:cs="Times New Roman"/>
                <w:sz w:val="24"/>
                <w:szCs w:val="24"/>
              </w:rPr>
              <w:t>Cesti</w:t>
            </w:r>
            <w:proofErr w:type="spellEnd"/>
            <w:r>
              <w:rPr>
                <w:rStyle w:val="Textoennegrita"/>
                <w:rFonts w:ascii="Times New Roman" w:hAnsi="Times New Roman" w:cs="Times New Roman"/>
                <w:sz w:val="24"/>
                <w:szCs w:val="24"/>
              </w:rPr>
              <w:t xml:space="preserve"> Hurtado Vs. Perú. Supervisión de Cumplimiento de Sentencia. Resolución de la Corte Interamericana de Derechos Humanos </w:t>
            </w:r>
            <w:r>
              <w:rPr>
                <w:rStyle w:val="Textoennegrita"/>
                <w:rFonts w:ascii="Times New Roman" w:hAnsi="Times New Roman" w:cs="Times New Roman"/>
                <w:sz w:val="24"/>
                <w:szCs w:val="24"/>
              </w:rPr>
              <w:lastRenderedPageBreak/>
              <w:t>de 26 de noviembre de 2013</w:t>
            </w:r>
          </w:p>
          <w:p w:rsidR="004A5F71" w:rsidRDefault="004A5F71" w:rsidP="004A5F71">
            <w:pPr>
              <w:spacing w:after="0" w:line="360" w:lineRule="auto"/>
              <w:jc w:val="both"/>
              <w:rPr>
                <w:rFonts w:ascii="Times New Roman" w:hAnsi="Times New Roman" w:cs="Times New Roman"/>
                <w:sz w:val="24"/>
                <w:szCs w:val="24"/>
              </w:rPr>
            </w:pP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Libertad de Conciencia y de Religión</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spacing w:after="0" w:line="360" w:lineRule="auto"/>
              <w:jc w:val="both"/>
              <w:rPr>
                <w:rFonts w:ascii="Times New Roman" w:hAnsi="Times New Roman" w:cs="Times New Roman"/>
                <w:sz w:val="24"/>
                <w:szCs w:val="24"/>
              </w:rPr>
            </w:pPr>
          </w:p>
          <w:p w:rsidR="00C84F53" w:rsidRDefault="00C84F53" w:rsidP="004A5F71">
            <w:pPr>
              <w:spacing w:after="0" w:line="360" w:lineRule="auto"/>
              <w:jc w:val="both"/>
              <w:rPr>
                <w:rFonts w:ascii="Times New Roman" w:hAnsi="Times New Roman" w:cs="Times New Roman"/>
                <w:sz w:val="24"/>
                <w:szCs w:val="24"/>
              </w:rPr>
            </w:pPr>
          </w:p>
          <w:p w:rsidR="00C84F53" w:rsidRDefault="00C84F53" w:rsidP="004A5F71">
            <w:pPr>
              <w:spacing w:after="0" w:line="360" w:lineRule="auto"/>
              <w:jc w:val="both"/>
              <w:rPr>
                <w:rFonts w:ascii="Times New Roman" w:hAnsi="Times New Roman" w:cs="Times New Roman"/>
                <w:sz w:val="24"/>
                <w:szCs w:val="24"/>
              </w:rPr>
            </w:pPr>
          </w:p>
          <w:p w:rsidR="004A5F71" w:rsidRPr="0068326E"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w:t>
            </w:r>
            <w:r w:rsidRPr="0068326E">
              <w:rPr>
                <w:rFonts w:ascii="Times New Roman" w:hAnsi="Times New Roman" w:cs="Times New Roman"/>
                <w:sz w:val="24"/>
                <w:szCs w:val="24"/>
              </w:rPr>
              <w:t>. 12 CADH</w:t>
            </w:r>
          </w:p>
          <w:p w:rsidR="004A5F71" w:rsidRPr="0068326E" w:rsidRDefault="00D02360" w:rsidP="004A5F71">
            <w:pPr>
              <w:spacing w:after="0" w:line="360" w:lineRule="auto"/>
              <w:jc w:val="both"/>
              <w:rPr>
                <w:rFonts w:ascii="Times New Roman" w:hAnsi="Times New Roman" w:cs="Times New Roman"/>
                <w:color w:val="000000" w:themeColor="text1"/>
                <w:sz w:val="28"/>
                <w:szCs w:val="28"/>
              </w:rPr>
            </w:pPr>
            <w:hyperlink r:id="rId10" w:anchor="a18" w:history="1">
              <w:r w:rsidR="004A5F71" w:rsidRPr="0068326E">
                <w:rPr>
                  <w:rStyle w:val="Hipervnculo"/>
                  <w:rFonts w:ascii="Times New Roman" w:hAnsi="Times New Roman" w:cs="Times New Roman"/>
                  <w:bCs/>
                  <w:color w:val="000000" w:themeColor="text1"/>
                  <w:sz w:val="24"/>
                  <w:szCs w:val="24"/>
                  <w:u w:val="none"/>
                </w:rPr>
                <w:t>Art. 18</w:t>
              </w:r>
            </w:hyperlink>
            <w:r w:rsidR="0068326E" w:rsidRPr="0068326E">
              <w:rPr>
                <w:rFonts w:ascii="Times New Roman" w:hAnsi="Times New Roman" w:cs="Times New Roman"/>
                <w:color w:val="000000" w:themeColor="text1"/>
                <w:sz w:val="24"/>
                <w:szCs w:val="24"/>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Toda persona tiene derecho a la libertad de conciencia y de religión. Este derecho implica la libertad</w:t>
            </w:r>
            <w:r w:rsidR="00267127">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de conservar su religión o sus creencias, o de cambiar de religión o de creencias, así como la libertad de profesar y divulgar su religión o sus creencias, individual o colectivamente, tanto en público como en privado.</w:t>
            </w: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Style w:val="Textoennegrita"/>
                <w:rFonts w:ascii="Times New Roman" w:hAnsi="Times New Roman" w:cs="Times New Roman"/>
                <w:sz w:val="24"/>
                <w:szCs w:val="24"/>
              </w:rPr>
              <w:t xml:space="preserve">Corte IDH. Casos Masacres de Río Negro y </w:t>
            </w:r>
            <w:proofErr w:type="spellStart"/>
            <w:r>
              <w:rPr>
                <w:rStyle w:val="Textoennegrita"/>
                <w:rFonts w:ascii="Times New Roman" w:hAnsi="Times New Roman" w:cs="Times New Roman"/>
                <w:sz w:val="24"/>
                <w:szCs w:val="24"/>
              </w:rPr>
              <w:t>Gudiel</w:t>
            </w:r>
            <w:proofErr w:type="spellEnd"/>
            <w:r>
              <w:rPr>
                <w:rStyle w:val="Textoennegrita"/>
                <w:rFonts w:ascii="Times New Roman" w:hAnsi="Times New Roman" w:cs="Times New Roman"/>
                <w:sz w:val="24"/>
                <w:szCs w:val="24"/>
              </w:rPr>
              <w:t xml:space="preserve"> Álvarez y otros Vs. Guatemala. Supervisión de Cumplimiento de Sentencia. Resolución de la Corte Interamericana de Derechos Humanos de 21 de agosto de 2014</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Libertad de Pensamiento y de Expresión</w:t>
            </w: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4A5F71" w:rsidRPr="0068326E" w:rsidRDefault="004A5F71" w:rsidP="004A5F71">
            <w:pPr>
              <w:spacing w:after="0" w:line="360" w:lineRule="auto"/>
              <w:jc w:val="both"/>
              <w:rPr>
                <w:rFonts w:ascii="Times New Roman" w:hAnsi="Times New Roman" w:cs="Times New Roman"/>
                <w:sz w:val="24"/>
                <w:szCs w:val="24"/>
              </w:rPr>
            </w:pPr>
            <w:r w:rsidRPr="0068326E">
              <w:rPr>
                <w:rFonts w:ascii="Times New Roman" w:hAnsi="Times New Roman" w:cs="Times New Roman"/>
                <w:sz w:val="24"/>
                <w:szCs w:val="24"/>
              </w:rPr>
              <w:t>Art. 13 CADH</w:t>
            </w:r>
          </w:p>
          <w:p w:rsidR="004A5F71" w:rsidRPr="0068326E" w:rsidRDefault="00D02360" w:rsidP="004A5F71">
            <w:pPr>
              <w:spacing w:after="0" w:line="360" w:lineRule="auto"/>
              <w:jc w:val="both"/>
              <w:rPr>
                <w:rFonts w:ascii="Times New Roman" w:hAnsi="Times New Roman" w:cs="Times New Roman"/>
                <w:color w:val="000000" w:themeColor="text1"/>
                <w:sz w:val="24"/>
                <w:szCs w:val="24"/>
              </w:rPr>
            </w:pPr>
            <w:hyperlink r:id="rId11" w:anchor="a10" w:history="1">
              <w:r w:rsidR="004A5F71" w:rsidRPr="0068326E">
                <w:rPr>
                  <w:rStyle w:val="Hipervnculo"/>
                  <w:rFonts w:ascii="Times New Roman" w:hAnsi="Times New Roman" w:cs="Times New Roman"/>
                  <w:bCs/>
                  <w:color w:val="000000" w:themeColor="text1"/>
                  <w:sz w:val="24"/>
                  <w:szCs w:val="24"/>
                  <w:u w:val="none"/>
                </w:rPr>
                <w:t>Art. 10</w:t>
              </w:r>
            </w:hyperlink>
            <w:r w:rsidR="0068326E" w:rsidRPr="0068326E">
              <w:rPr>
                <w:rFonts w:ascii="Times New Roman" w:hAnsi="Times New Roman" w:cs="Times New Roman"/>
                <w:color w:val="000000" w:themeColor="text1"/>
                <w:sz w:val="24"/>
                <w:szCs w:val="24"/>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C84F53"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4A5F71">
              <w:rPr>
                <w:rFonts w:ascii="Times New Roman" w:hAnsi="Times New Roman" w:cs="Times New Roman"/>
                <w:sz w:val="24"/>
                <w:szCs w:val="24"/>
              </w:rPr>
              <w:t xml:space="preserve">a libertad de expresión  no se agota en el reconocimiento teórico del derecho a hablar o escribir, sino  que comprende además, inseparablemente, el derecho a utilizar cualquier medio  apropiado para difundir la información y hacerla llegar al mayor número de  destinatarios.  En este sentido, la  expresión y la difusión del pensamiento y de la información son indivisibles </w:t>
            </w:r>
            <w:r w:rsidR="004A5F71">
              <w:rPr>
                <w:rStyle w:val="Textoennegrita"/>
                <w:rFonts w:ascii="Times New Roman" w:hAnsi="Times New Roman" w:cs="Times New Roman"/>
                <w:sz w:val="24"/>
                <w:szCs w:val="24"/>
              </w:rPr>
              <w:t xml:space="preserve">Corte IDH. Caso Castillo </w:t>
            </w:r>
            <w:proofErr w:type="spellStart"/>
            <w:r w:rsidR="004A5F71">
              <w:rPr>
                <w:rStyle w:val="Textoennegrita"/>
                <w:rFonts w:ascii="Times New Roman" w:hAnsi="Times New Roman" w:cs="Times New Roman"/>
                <w:sz w:val="24"/>
                <w:szCs w:val="24"/>
              </w:rPr>
              <w:t>Petruzzi</w:t>
            </w:r>
            <w:proofErr w:type="spellEnd"/>
            <w:r w:rsidR="004A5F71">
              <w:rPr>
                <w:rStyle w:val="Textoennegrita"/>
                <w:rFonts w:ascii="Times New Roman" w:hAnsi="Times New Roman" w:cs="Times New Roman"/>
                <w:sz w:val="24"/>
                <w:szCs w:val="24"/>
              </w:rPr>
              <w:t xml:space="preserve"> y otros Vs. Perú. Supervisión de Cumplimiento de Sentencia. Resolución de la Corte Interamericana de Derechos Humanos 1 de julio de 2011.</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de Rectificación o Respuesta</w:t>
            </w: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tabs>
                <w:tab w:val="left" w:pos="1456"/>
              </w:tabs>
              <w:spacing w:after="0" w:line="360" w:lineRule="auto"/>
              <w:jc w:val="both"/>
              <w:rPr>
                <w:rFonts w:ascii="Times New Roman" w:hAnsi="Times New Roman" w:cs="Times New Roman"/>
                <w:sz w:val="24"/>
                <w:szCs w:val="24"/>
              </w:rPr>
            </w:pPr>
          </w:p>
          <w:p w:rsidR="009C0F75" w:rsidRDefault="009C0F75" w:rsidP="004A5F71">
            <w:pPr>
              <w:tabs>
                <w:tab w:val="left" w:pos="1456"/>
              </w:tabs>
              <w:spacing w:after="0" w:line="360" w:lineRule="auto"/>
              <w:jc w:val="both"/>
              <w:rPr>
                <w:rFonts w:ascii="Times New Roman" w:hAnsi="Times New Roman" w:cs="Times New Roman"/>
                <w:sz w:val="24"/>
                <w:szCs w:val="24"/>
              </w:rPr>
            </w:pPr>
          </w:p>
          <w:p w:rsidR="00C84F53" w:rsidRDefault="00C84F53" w:rsidP="004A5F71">
            <w:pPr>
              <w:tabs>
                <w:tab w:val="left" w:pos="1456"/>
              </w:tabs>
              <w:spacing w:after="0" w:line="360" w:lineRule="auto"/>
              <w:jc w:val="both"/>
              <w:rPr>
                <w:rFonts w:ascii="Times New Roman" w:hAnsi="Times New Roman" w:cs="Times New Roman"/>
                <w:sz w:val="24"/>
                <w:szCs w:val="24"/>
              </w:rPr>
            </w:pPr>
          </w:p>
          <w:p w:rsidR="00C84F53" w:rsidRDefault="00C84F53" w:rsidP="004A5F71">
            <w:pPr>
              <w:tabs>
                <w:tab w:val="left" w:pos="1456"/>
              </w:tabs>
              <w:spacing w:after="0" w:line="360" w:lineRule="auto"/>
              <w:jc w:val="both"/>
              <w:rPr>
                <w:rFonts w:ascii="Times New Roman" w:hAnsi="Times New Roman" w:cs="Times New Roman"/>
                <w:sz w:val="24"/>
                <w:szCs w:val="24"/>
              </w:rPr>
            </w:pPr>
          </w:p>
          <w:p w:rsidR="00C84F53" w:rsidRDefault="00C84F53" w:rsidP="004A5F71">
            <w:pPr>
              <w:tabs>
                <w:tab w:val="left" w:pos="1456"/>
              </w:tabs>
              <w:spacing w:after="0" w:line="360" w:lineRule="auto"/>
              <w:jc w:val="both"/>
              <w:rPr>
                <w:rFonts w:ascii="Times New Roman" w:hAnsi="Times New Roman" w:cs="Times New Roman"/>
                <w:sz w:val="24"/>
                <w:szCs w:val="24"/>
              </w:rPr>
            </w:pPr>
          </w:p>
          <w:p w:rsidR="004A5F71" w:rsidRDefault="004A5F71" w:rsidP="004A5F71">
            <w:pPr>
              <w:tabs>
                <w:tab w:val="left" w:pos="1456"/>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Art. 14 CADH</w:t>
            </w:r>
          </w:p>
          <w:p w:rsidR="009853AA" w:rsidRDefault="009853AA" w:rsidP="004A5F71">
            <w:pPr>
              <w:tabs>
                <w:tab w:val="left" w:pos="1456"/>
              </w:tabs>
              <w:spacing w:after="0" w:line="360" w:lineRule="auto"/>
              <w:jc w:val="both"/>
              <w:rPr>
                <w:rFonts w:ascii="Times New Roman" w:hAnsi="Times New Roman" w:cs="Times New Roman"/>
                <w:sz w:val="24"/>
                <w:szCs w:val="24"/>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C84F53"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"U</w:t>
            </w:r>
            <w:r w:rsidR="004A5F71">
              <w:rPr>
                <w:rFonts w:ascii="Times New Roman" w:hAnsi="Times New Roman" w:cs="Times New Roman"/>
                <w:sz w:val="24"/>
                <w:szCs w:val="24"/>
              </w:rPr>
              <w:t xml:space="preserve">n derecho" de rectificación o respuesta, sean </w:t>
            </w:r>
            <w:r w:rsidR="004A5F71">
              <w:rPr>
                <w:rFonts w:ascii="Times New Roman" w:hAnsi="Times New Roman" w:cs="Times New Roman"/>
                <w:sz w:val="24"/>
                <w:szCs w:val="24"/>
              </w:rPr>
              <w:lastRenderedPageBreak/>
              <w:t xml:space="preserve">tan terminantes respecto de "las responsabilidades legales" La Corte ha establece el derecho de rectificación o respuesta y que la frase "en las condiciones que establezca la ley" se refiere a diversas condiciones relacionadas con el ejercicio de ese derecho. Por consiguiente, esa frase atañe a la efectividad de ese derecho en el orden interno, mas no a su creación, existencia o exigibilidad internacional. </w:t>
            </w:r>
            <w:r w:rsidR="004A5F71">
              <w:rPr>
                <w:rStyle w:val="Textoennegrita"/>
                <w:rFonts w:ascii="Times New Roman" w:hAnsi="Times New Roman" w:cs="Times New Roman"/>
                <w:sz w:val="24"/>
                <w:szCs w:val="24"/>
              </w:rPr>
              <w:t>Corte IDH. Exigibilidad del Derecho de Rectificación o Respuesta (arts. 14.1, 1.1 y 2 Convención Americana sobre Derechos Humanos). Opinión Consultiva OC-7/86 del 29 de agosto de 1986. Serie A No. 7</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de Reunión</w:t>
            </w: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color w:val="000000" w:themeColor="text1"/>
                <w:sz w:val="24"/>
                <w:szCs w:val="24"/>
              </w:rPr>
            </w:pPr>
          </w:p>
          <w:p w:rsidR="009C0F75" w:rsidRDefault="009C0F75" w:rsidP="004A5F71">
            <w:pPr>
              <w:spacing w:after="0" w:line="360" w:lineRule="auto"/>
              <w:jc w:val="both"/>
              <w:rPr>
                <w:rFonts w:ascii="Times New Roman" w:hAnsi="Times New Roman" w:cs="Times New Roman"/>
                <w:color w:val="000000" w:themeColor="text1"/>
                <w:sz w:val="24"/>
                <w:szCs w:val="24"/>
              </w:rPr>
            </w:pPr>
          </w:p>
          <w:p w:rsidR="009C0F75" w:rsidRDefault="009C0F75" w:rsidP="004A5F71">
            <w:pPr>
              <w:spacing w:after="0" w:line="360" w:lineRule="auto"/>
              <w:jc w:val="both"/>
              <w:rPr>
                <w:rFonts w:ascii="Times New Roman" w:hAnsi="Times New Roman" w:cs="Times New Roman"/>
                <w:color w:val="000000" w:themeColor="text1"/>
                <w:sz w:val="24"/>
                <w:szCs w:val="24"/>
              </w:rPr>
            </w:pPr>
          </w:p>
          <w:p w:rsidR="009C0F75" w:rsidRDefault="009C0F75" w:rsidP="004A5F71">
            <w:pPr>
              <w:spacing w:after="0" w:line="360" w:lineRule="auto"/>
              <w:jc w:val="both"/>
              <w:rPr>
                <w:rFonts w:ascii="Times New Roman" w:hAnsi="Times New Roman" w:cs="Times New Roman"/>
                <w:color w:val="000000" w:themeColor="text1"/>
                <w:sz w:val="24"/>
                <w:szCs w:val="24"/>
              </w:rPr>
            </w:pPr>
          </w:p>
          <w:p w:rsidR="004A5F71" w:rsidRPr="009C0F75" w:rsidRDefault="004A5F71" w:rsidP="004A5F71">
            <w:pPr>
              <w:spacing w:after="0" w:line="360" w:lineRule="auto"/>
              <w:jc w:val="both"/>
              <w:rPr>
                <w:rFonts w:ascii="Times New Roman" w:hAnsi="Times New Roman" w:cs="Times New Roman"/>
                <w:color w:val="000000" w:themeColor="text1"/>
                <w:sz w:val="24"/>
                <w:szCs w:val="24"/>
              </w:rPr>
            </w:pPr>
            <w:r w:rsidRPr="009C0F75">
              <w:rPr>
                <w:rFonts w:ascii="Times New Roman" w:hAnsi="Times New Roman" w:cs="Times New Roman"/>
                <w:color w:val="000000" w:themeColor="text1"/>
                <w:sz w:val="24"/>
                <w:szCs w:val="24"/>
              </w:rPr>
              <w:t>Art.  15 CADH</w:t>
            </w:r>
          </w:p>
          <w:p w:rsidR="004A5F71" w:rsidRDefault="00D02360" w:rsidP="004A5F71">
            <w:pPr>
              <w:spacing w:after="0" w:line="360" w:lineRule="auto"/>
              <w:jc w:val="both"/>
              <w:rPr>
                <w:rFonts w:ascii="Times New Roman" w:hAnsi="Times New Roman" w:cs="Times New Roman"/>
                <w:sz w:val="24"/>
                <w:szCs w:val="24"/>
              </w:rPr>
            </w:pPr>
            <w:hyperlink r:id="rId12" w:anchor="a11" w:history="1">
              <w:r w:rsidR="004A5F71" w:rsidRPr="009C0F75">
                <w:rPr>
                  <w:rStyle w:val="Hipervnculo"/>
                  <w:rFonts w:ascii="Times New Roman" w:hAnsi="Times New Roman" w:cs="Times New Roman"/>
                  <w:bCs/>
                  <w:color w:val="000000" w:themeColor="text1"/>
                  <w:sz w:val="24"/>
                  <w:szCs w:val="24"/>
                  <w:u w:val="none"/>
                </w:rPr>
                <w:t>Art. 11</w:t>
              </w:r>
            </w:hyperlink>
            <w:r w:rsidR="009C0F75" w:rsidRPr="009C0F75">
              <w:rPr>
                <w:rFonts w:ascii="Times New Roman" w:hAnsi="Times New Roman" w:cs="Times New Roman"/>
                <w:color w:val="000000" w:themeColor="text1"/>
                <w:sz w:val="24"/>
                <w:szCs w:val="24"/>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 ejercicio de tal derecho sólo puede estar sujeto a las restricciones previstas por la ley, que sean necesarias en una sociedad democrática, en interés de la seguridad nacional, de la seguridad o del orden públicos, o para proteger la salud o la moral públicas o los derechos o libertades de los demás </w:t>
            </w:r>
            <w:r>
              <w:rPr>
                <w:rStyle w:val="Textoennegrita"/>
                <w:rFonts w:ascii="Times New Roman" w:hAnsi="Times New Roman" w:cs="Times New Roman"/>
                <w:sz w:val="24"/>
                <w:szCs w:val="24"/>
              </w:rPr>
              <w:t>Corte IDH. Caso Baena Ricardo y otros Vs. Panamá. Supervisión de Cumplimiento de Sentencia. Resolución de la Corte Interamericana de Derechos Humanos de 05 de febrero de 2013</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Libertad de Asociación</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26E" w:rsidRDefault="0068326E" w:rsidP="004A5F71">
            <w:pPr>
              <w:spacing w:after="0" w:line="360" w:lineRule="auto"/>
              <w:jc w:val="both"/>
              <w:rPr>
                <w:rFonts w:ascii="Times New Roman" w:hAnsi="Times New Roman" w:cs="Times New Roman"/>
                <w:color w:val="000000" w:themeColor="text1"/>
                <w:sz w:val="24"/>
                <w:szCs w:val="24"/>
              </w:rPr>
            </w:pPr>
          </w:p>
          <w:p w:rsidR="0068326E" w:rsidRDefault="0068326E" w:rsidP="004A5F71">
            <w:pPr>
              <w:spacing w:after="0" w:line="360" w:lineRule="auto"/>
              <w:jc w:val="both"/>
              <w:rPr>
                <w:rFonts w:ascii="Times New Roman" w:hAnsi="Times New Roman" w:cs="Times New Roman"/>
                <w:color w:val="000000" w:themeColor="text1"/>
                <w:sz w:val="24"/>
                <w:szCs w:val="24"/>
              </w:rPr>
            </w:pPr>
          </w:p>
          <w:p w:rsidR="004A5F71" w:rsidRPr="0068326E" w:rsidRDefault="004A5F71" w:rsidP="004A5F71">
            <w:pPr>
              <w:spacing w:after="0" w:line="360" w:lineRule="auto"/>
              <w:jc w:val="both"/>
              <w:rPr>
                <w:rFonts w:ascii="Times New Roman" w:hAnsi="Times New Roman" w:cs="Times New Roman"/>
                <w:color w:val="000000" w:themeColor="text1"/>
                <w:sz w:val="24"/>
                <w:szCs w:val="24"/>
              </w:rPr>
            </w:pPr>
            <w:r w:rsidRPr="0068326E">
              <w:rPr>
                <w:rFonts w:ascii="Times New Roman" w:hAnsi="Times New Roman" w:cs="Times New Roman"/>
                <w:color w:val="000000" w:themeColor="text1"/>
                <w:sz w:val="24"/>
                <w:szCs w:val="24"/>
              </w:rPr>
              <w:t>Art.16 CADH</w:t>
            </w:r>
          </w:p>
          <w:p w:rsidR="004A5F71" w:rsidRDefault="00D02360" w:rsidP="004A5F71">
            <w:pPr>
              <w:spacing w:after="0" w:line="360" w:lineRule="auto"/>
              <w:jc w:val="both"/>
              <w:rPr>
                <w:rFonts w:ascii="Times New Roman" w:hAnsi="Times New Roman" w:cs="Times New Roman"/>
                <w:sz w:val="24"/>
                <w:szCs w:val="24"/>
              </w:rPr>
            </w:pPr>
            <w:hyperlink r:id="rId13" w:anchor="a11" w:history="1">
              <w:r w:rsidR="004A5F71" w:rsidRPr="0068326E">
                <w:rPr>
                  <w:rStyle w:val="Hipervnculo"/>
                  <w:rFonts w:ascii="Times New Roman" w:hAnsi="Times New Roman" w:cs="Times New Roman"/>
                  <w:bCs/>
                  <w:color w:val="000000" w:themeColor="text1"/>
                  <w:sz w:val="24"/>
                  <w:szCs w:val="24"/>
                  <w:u w:val="none"/>
                </w:rPr>
                <w:t>Art. 11</w:t>
              </w:r>
            </w:hyperlink>
            <w:r w:rsidR="0068326E" w:rsidRPr="0068326E">
              <w:rPr>
                <w:rFonts w:ascii="Times New Roman" w:hAnsi="Times New Roman" w:cs="Times New Roman"/>
                <w:color w:val="000000" w:themeColor="text1"/>
                <w:sz w:val="24"/>
                <w:szCs w:val="24"/>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68326E"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4A5F71">
              <w:rPr>
                <w:rFonts w:ascii="Times New Roman" w:hAnsi="Times New Roman" w:cs="Times New Roman"/>
                <w:sz w:val="24"/>
                <w:szCs w:val="24"/>
              </w:rPr>
              <w:t xml:space="preserve">erecho y la libertad de asociarse libremente con otras personas, sin  intervención de las autoridades públicas que limiten o entorpezcan el ejercicio  del referido derecho. Se trata, pues, del </w:t>
            </w:r>
            <w:r w:rsidR="004A5F71">
              <w:rPr>
                <w:rFonts w:ascii="Times New Roman" w:hAnsi="Times New Roman" w:cs="Times New Roman"/>
                <w:sz w:val="24"/>
                <w:szCs w:val="24"/>
              </w:rPr>
              <w:lastRenderedPageBreak/>
              <w:t>derecho a agruparse con la finalidad  de buscar la realización común de un fin lícito, sin presiones o intromisiones  que puedan alterar o desnaturalizar dicha finalidad. Asimismo,</w:t>
            </w:r>
            <w:r>
              <w:rPr>
                <w:rFonts w:ascii="Times New Roman" w:hAnsi="Times New Roman" w:cs="Times New Roman"/>
                <w:sz w:val="24"/>
                <w:szCs w:val="24"/>
              </w:rPr>
              <w:t xml:space="preserve"> </w:t>
            </w:r>
            <w:r w:rsidR="004A5F71">
              <w:rPr>
                <w:rFonts w:ascii="Times New Roman" w:hAnsi="Times New Roman" w:cs="Times New Roman"/>
                <w:sz w:val="24"/>
                <w:szCs w:val="24"/>
              </w:rPr>
              <w:t xml:space="preserve">de dicho tratado establece que el ejercicio del derecho a asociarse libremente  “sólo puede estar sujeto a las restricciones previstas por la ley que sean  necesarias en una sociedad democrática, en interés de la seguridad nacional, de  la seguridad o del orden públicos, o para proteger la salud o la moral públicas  o los derechos y libertades de los demás” </w:t>
            </w:r>
            <w:r w:rsidR="004A5F71">
              <w:rPr>
                <w:rStyle w:val="Textoennegrita"/>
                <w:rFonts w:ascii="Times New Roman" w:hAnsi="Times New Roman" w:cs="Times New Roman"/>
                <w:sz w:val="24"/>
                <w:szCs w:val="24"/>
              </w:rPr>
              <w:t xml:space="preserve">Corte IDH. Casos Masacres de Río Negro y </w:t>
            </w:r>
            <w:proofErr w:type="spellStart"/>
            <w:r w:rsidR="004A5F71">
              <w:rPr>
                <w:rStyle w:val="Textoennegrita"/>
                <w:rFonts w:ascii="Times New Roman" w:hAnsi="Times New Roman" w:cs="Times New Roman"/>
                <w:sz w:val="24"/>
                <w:szCs w:val="24"/>
              </w:rPr>
              <w:t>Gudiel</w:t>
            </w:r>
            <w:proofErr w:type="spellEnd"/>
            <w:r w:rsidR="004A5F71">
              <w:rPr>
                <w:rStyle w:val="Textoennegrita"/>
                <w:rFonts w:ascii="Times New Roman" w:hAnsi="Times New Roman" w:cs="Times New Roman"/>
                <w:sz w:val="24"/>
                <w:szCs w:val="24"/>
              </w:rPr>
              <w:t xml:space="preserve"> Álvarez y otros Vs. Guatemala. Supervisión de Cumplimiento de Sentencia. Resolución de la Corte Interamericana de Derechos Humanos de 21 de agosto de 2014</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68326E" w:rsidRDefault="0068326E"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Protección a la Familia</w:t>
            </w: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derecho del hombre y la mujer a contraer matrimonio y a fundar una familia)</w:t>
            </w: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326E" w:rsidRDefault="0068326E" w:rsidP="0068326E">
            <w:pPr>
              <w:spacing w:after="0" w:line="360" w:lineRule="auto"/>
              <w:jc w:val="center"/>
              <w:rPr>
                <w:rFonts w:ascii="Times New Roman" w:hAnsi="Times New Roman" w:cs="Times New Roman"/>
                <w:color w:val="000000" w:themeColor="text1"/>
                <w:sz w:val="24"/>
                <w:szCs w:val="24"/>
              </w:rPr>
            </w:pPr>
          </w:p>
          <w:p w:rsidR="0068326E" w:rsidRDefault="0068326E" w:rsidP="0068326E">
            <w:pPr>
              <w:spacing w:after="0" w:line="360" w:lineRule="auto"/>
              <w:jc w:val="center"/>
              <w:rPr>
                <w:rFonts w:ascii="Times New Roman" w:hAnsi="Times New Roman" w:cs="Times New Roman"/>
                <w:color w:val="000000" w:themeColor="text1"/>
                <w:sz w:val="24"/>
                <w:szCs w:val="24"/>
              </w:rPr>
            </w:pPr>
          </w:p>
          <w:p w:rsidR="0068326E" w:rsidRDefault="0068326E" w:rsidP="0068326E">
            <w:pPr>
              <w:spacing w:after="0" w:line="360" w:lineRule="auto"/>
              <w:jc w:val="center"/>
              <w:rPr>
                <w:rFonts w:ascii="Times New Roman" w:hAnsi="Times New Roman" w:cs="Times New Roman"/>
                <w:color w:val="000000" w:themeColor="text1"/>
                <w:sz w:val="24"/>
                <w:szCs w:val="24"/>
              </w:rPr>
            </w:pPr>
          </w:p>
          <w:p w:rsidR="004A5F71" w:rsidRPr="0068326E" w:rsidRDefault="004A5F71" w:rsidP="0068326E">
            <w:pPr>
              <w:spacing w:after="0" w:line="360" w:lineRule="auto"/>
              <w:jc w:val="center"/>
              <w:rPr>
                <w:rFonts w:ascii="Times New Roman" w:hAnsi="Times New Roman" w:cs="Times New Roman"/>
                <w:color w:val="000000" w:themeColor="text1"/>
                <w:sz w:val="24"/>
                <w:szCs w:val="24"/>
              </w:rPr>
            </w:pPr>
            <w:r w:rsidRPr="0068326E">
              <w:rPr>
                <w:rFonts w:ascii="Times New Roman" w:hAnsi="Times New Roman" w:cs="Times New Roman"/>
                <w:color w:val="000000" w:themeColor="text1"/>
                <w:sz w:val="24"/>
                <w:szCs w:val="24"/>
              </w:rPr>
              <w:t>Art. 17 CADH</w:t>
            </w:r>
          </w:p>
          <w:p w:rsidR="004A5F71" w:rsidRDefault="00D02360" w:rsidP="0068326E">
            <w:pPr>
              <w:spacing w:after="0" w:line="360" w:lineRule="auto"/>
              <w:jc w:val="center"/>
              <w:rPr>
                <w:rFonts w:ascii="Times New Roman" w:hAnsi="Times New Roman" w:cs="Times New Roman"/>
                <w:sz w:val="24"/>
                <w:szCs w:val="24"/>
              </w:rPr>
            </w:pPr>
            <w:hyperlink r:id="rId14" w:anchor="a8" w:history="1">
              <w:r w:rsidR="004A5F71" w:rsidRPr="0068326E">
                <w:rPr>
                  <w:rStyle w:val="Hipervnculo"/>
                  <w:rFonts w:ascii="Times New Roman" w:hAnsi="Times New Roman" w:cs="Times New Roman"/>
                  <w:bCs/>
                  <w:color w:val="000000" w:themeColor="text1"/>
                  <w:sz w:val="24"/>
                  <w:szCs w:val="24"/>
                  <w:u w:val="none"/>
                </w:rPr>
                <w:t>Art. 8</w:t>
              </w:r>
            </w:hyperlink>
            <w:r w:rsidR="0068326E" w:rsidRPr="0068326E">
              <w:rPr>
                <w:rFonts w:ascii="Times New Roman" w:hAnsi="Times New Roman" w:cs="Times New Roman"/>
                <w:color w:val="000000" w:themeColor="text1"/>
                <w:sz w:val="24"/>
                <w:szCs w:val="24"/>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68326E"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4A5F71">
              <w:rPr>
                <w:rFonts w:ascii="Times New Roman" w:hAnsi="Times New Roman" w:cs="Times New Roman"/>
                <w:sz w:val="24"/>
                <w:szCs w:val="24"/>
              </w:rPr>
              <w:t xml:space="preserve">erecho a la familia. Al respecto, es  importante recordar que el Tribunal también ha señalado  que el niño tiene derecho a vivir con su  familia, llamada a satisfacer sus necesidades materiales, afectivas y  psicológicas”. Por otra parte,  toda persona tiene derecho a recibir protección contra injerencias arbitrarias  o abusivas en su familia, y en especial los niños y niñas, dado que la familia  tiene un rol esencial en su desarrollo </w:t>
            </w:r>
            <w:r w:rsidR="004A5F71">
              <w:rPr>
                <w:rStyle w:val="Textoennegrita"/>
                <w:rFonts w:ascii="Times New Roman" w:hAnsi="Times New Roman" w:cs="Times New Roman"/>
                <w:sz w:val="24"/>
                <w:szCs w:val="24"/>
              </w:rPr>
              <w:t xml:space="preserve">Corte IDH. Casos Masacres de Río Negro y </w:t>
            </w:r>
            <w:proofErr w:type="spellStart"/>
            <w:r w:rsidR="004A5F71">
              <w:rPr>
                <w:rStyle w:val="Textoennegrita"/>
                <w:rFonts w:ascii="Times New Roman" w:hAnsi="Times New Roman" w:cs="Times New Roman"/>
                <w:sz w:val="24"/>
                <w:szCs w:val="24"/>
              </w:rPr>
              <w:t>Gudiel</w:t>
            </w:r>
            <w:proofErr w:type="spellEnd"/>
            <w:r w:rsidR="004A5F71">
              <w:rPr>
                <w:rStyle w:val="Textoennegrita"/>
                <w:rFonts w:ascii="Times New Roman" w:hAnsi="Times New Roman" w:cs="Times New Roman"/>
                <w:sz w:val="24"/>
                <w:szCs w:val="24"/>
              </w:rPr>
              <w:t xml:space="preserve"> Álvarez y otros Vs. Guatemala. Supervisión de Cumplimiento de Sentencia. Resolución de la Corte Interamericana de Derechos </w:t>
            </w:r>
            <w:r w:rsidR="004A5F71">
              <w:rPr>
                <w:rStyle w:val="Textoennegrita"/>
                <w:rFonts w:ascii="Times New Roman" w:hAnsi="Times New Roman" w:cs="Times New Roman"/>
                <w:sz w:val="24"/>
                <w:szCs w:val="24"/>
              </w:rPr>
              <w:lastRenderedPageBreak/>
              <w:t>Humanos de 21 de agosto de 2014</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al Nombre</w:t>
            </w: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18 CADH</w:t>
            </w:r>
          </w:p>
          <w:p w:rsidR="001B0E65" w:rsidRDefault="001B0E65"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5F71" w:rsidRDefault="009C0F75"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4A5F71">
              <w:rPr>
                <w:rFonts w:ascii="Times New Roman" w:hAnsi="Times New Roman" w:cs="Times New Roman"/>
                <w:sz w:val="24"/>
                <w:szCs w:val="24"/>
              </w:rPr>
              <w:t xml:space="preserve">erecho al nombre, la Corte  ha establecido que “constituye un elemento básico e indispensable de la  identidad de cada persona”. En este sentido, el Tribunal ha señalado que “los  Estados deben garantizar que la persona sea registrada con el nombre elegido  por ella o por sus padres, según sea  el  momento del registro, sin ningún tipo de restricción al derecho  ni interferencia en la decisión de escoger  el  nombre. Una vez registrada la  persona, se debe garantizar la posibilidad de preservar y restablecer su nombre  y su apellido. El nombre y los apellidos son   esenciales para establecer formalmente el vínculo existente entre los  diferentes miembros de la familia </w:t>
            </w:r>
            <w:r w:rsidR="004A5F71">
              <w:rPr>
                <w:rStyle w:val="Textoennegrita"/>
                <w:rFonts w:ascii="Times New Roman" w:hAnsi="Times New Roman" w:cs="Times New Roman"/>
                <w:sz w:val="24"/>
                <w:szCs w:val="24"/>
              </w:rPr>
              <w:t xml:space="preserve">Corte IDH. Casos Masacres de Río Negro y </w:t>
            </w:r>
            <w:proofErr w:type="spellStart"/>
            <w:r w:rsidR="004A5F71">
              <w:rPr>
                <w:rStyle w:val="Textoennegrita"/>
                <w:rFonts w:ascii="Times New Roman" w:hAnsi="Times New Roman" w:cs="Times New Roman"/>
                <w:sz w:val="24"/>
                <w:szCs w:val="24"/>
              </w:rPr>
              <w:t>Gudiel</w:t>
            </w:r>
            <w:proofErr w:type="spellEnd"/>
            <w:r w:rsidR="004A5F71">
              <w:rPr>
                <w:rStyle w:val="Textoennegrita"/>
                <w:rFonts w:ascii="Times New Roman" w:hAnsi="Times New Roman" w:cs="Times New Roman"/>
                <w:sz w:val="24"/>
                <w:szCs w:val="24"/>
              </w:rPr>
              <w:t xml:space="preserve"> Álvarez y otros Vs. Guatemala. Supervisión de Cumplimiento de Sentencia. Resolución de la Corte Interamericana de Derechos Humanos de 21 de agosto de 2014</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Derechos del Niño</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sz w:val="24"/>
                <w:szCs w:val="24"/>
                <w:lang w:val="en-US"/>
              </w:rPr>
            </w:pPr>
          </w:p>
          <w:p w:rsidR="009C0F75" w:rsidRDefault="009C0F75" w:rsidP="004A5F71">
            <w:pPr>
              <w:spacing w:after="0" w:line="360" w:lineRule="auto"/>
              <w:jc w:val="both"/>
              <w:rPr>
                <w:rFonts w:ascii="Times New Roman" w:hAnsi="Times New Roman" w:cs="Times New Roman"/>
                <w:sz w:val="24"/>
                <w:szCs w:val="24"/>
                <w:lang w:val="en-US"/>
              </w:rPr>
            </w:pPr>
          </w:p>
          <w:p w:rsidR="009C0F75" w:rsidRDefault="009C0F75" w:rsidP="004A5F71">
            <w:pPr>
              <w:spacing w:after="0" w:line="360" w:lineRule="auto"/>
              <w:jc w:val="both"/>
              <w:rPr>
                <w:rFonts w:ascii="Times New Roman" w:hAnsi="Times New Roman" w:cs="Times New Roman"/>
                <w:sz w:val="24"/>
                <w:szCs w:val="24"/>
                <w:lang w:val="en-US"/>
              </w:rPr>
            </w:pPr>
          </w:p>
          <w:p w:rsidR="004A5F71" w:rsidRPr="009C0F75" w:rsidRDefault="004A5F71" w:rsidP="004A5F71">
            <w:pPr>
              <w:spacing w:after="0" w:line="360" w:lineRule="auto"/>
              <w:jc w:val="both"/>
              <w:rPr>
                <w:rFonts w:ascii="Times New Roman" w:hAnsi="Times New Roman" w:cs="Times New Roman"/>
                <w:sz w:val="24"/>
                <w:szCs w:val="24"/>
                <w:lang w:val="en-US"/>
              </w:rPr>
            </w:pPr>
            <w:r w:rsidRPr="009C0F75">
              <w:rPr>
                <w:rFonts w:ascii="Times New Roman" w:hAnsi="Times New Roman" w:cs="Times New Roman"/>
                <w:sz w:val="24"/>
                <w:szCs w:val="24"/>
                <w:lang w:val="en-US"/>
              </w:rPr>
              <w:t>Art. 19 CADH</w:t>
            </w:r>
          </w:p>
          <w:p w:rsidR="00CF4367" w:rsidRPr="009C0F75" w:rsidRDefault="00D02360" w:rsidP="00CF4367">
            <w:pPr>
              <w:spacing w:after="0" w:line="240" w:lineRule="auto"/>
              <w:rPr>
                <w:rFonts w:ascii="Times New Roman" w:eastAsia="Times New Roman" w:hAnsi="Times New Roman" w:cs="Times New Roman"/>
                <w:color w:val="000000" w:themeColor="text1"/>
                <w:sz w:val="24"/>
                <w:szCs w:val="24"/>
                <w:lang w:val="en-US" w:eastAsia="es-SV"/>
              </w:rPr>
            </w:pPr>
            <w:hyperlink r:id="rId15" w:anchor="a24" w:history="1">
              <w:r w:rsidR="00CF4367" w:rsidRPr="009C0F75">
                <w:rPr>
                  <w:rFonts w:ascii="Times New Roman" w:eastAsia="Times New Roman" w:hAnsi="Times New Roman" w:cs="Times New Roman"/>
                  <w:b/>
                  <w:bCs/>
                  <w:color w:val="000000" w:themeColor="text1"/>
                  <w:sz w:val="24"/>
                  <w:szCs w:val="24"/>
                  <w:lang w:val="en-US" w:eastAsia="es-SV"/>
                </w:rPr>
                <w:t>Art. 24</w:t>
              </w:r>
            </w:hyperlink>
            <w:r w:rsidR="009C0F75" w:rsidRPr="009C0F75">
              <w:rPr>
                <w:rFonts w:ascii="Times New Roman" w:eastAsia="Times New Roman" w:hAnsi="Times New Roman" w:cs="Times New Roman"/>
                <w:color w:val="000000" w:themeColor="text1"/>
                <w:sz w:val="24"/>
                <w:szCs w:val="24"/>
                <w:lang w:val="en-US" w:eastAsia="es-SV"/>
              </w:rPr>
              <w:t xml:space="preserve"> PIDCP</w:t>
            </w:r>
          </w:p>
          <w:p w:rsidR="00CF4367" w:rsidRPr="009C0F75" w:rsidRDefault="00D02360" w:rsidP="00CF4367">
            <w:pPr>
              <w:spacing w:after="0" w:line="240" w:lineRule="auto"/>
              <w:rPr>
                <w:rFonts w:ascii="Times New Roman" w:eastAsia="Times New Roman" w:hAnsi="Times New Roman" w:cs="Times New Roman"/>
                <w:color w:val="000000" w:themeColor="text1"/>
                <w:sz w:val="24"/>
                <w:szCs w:val="24"/>
                <w:lang w:val="en-US" w:eastAsia="es-SV"/>
              </w:rPr>
            </w:pPr>
            <w:hyperlink r:id="rId16" w:anchor="a10" w:history="1">
              <w:r w:rsidR="00CF4367" w:rsidRPr="009C0F75">
                <w:rPr>
                  <w:rFonts w:ascii="Times New Roman" w:eastAsia="Times New Roman" w:hAnsi="Times New Roman" w:cs="Times New Roman"/>
                  <w:b/>
                  <w:bCs/>
                  <w:color w:val="000000" w:themeColor="text1"/>
                  <w:sz w:val="24"/>
                  <w:szCs w:val="24"/>
                  <w:lang w:val="en-US" w:eastAsia="es-SV"/>
                </w:rPr>
                <w:t>Art. 10.2.b)</w:t>
              </w:r>
            </w:hyperlink>
            <w:r w:rsidR="009C0F75" w:rsidRPr="009C0F75">
              <w:rPr>
                <w:rFonts w:ascii="Times New Roman" w:hAnsi="Times New Roman" w:cs="Times New Roman"/>
                <w:color w:val="000000" w:themeColor="text1"/>
                <w:sz w:val="24"/>
                <w:szCs w:val="24"/>
                <w:lang w:val="en-US"/>
              </w:rPr>
              <w:t xml:space="preserve"> PIDCP</w:t>
            </w:r>
          </w:p>
          <w:p w:rsidR="00CF4367" w:rsidRPr="009C0F75" w:rsidRDefault="00D02360" w:rsidP="00CF4367">
            <w:pPr>
              <w:spacing w:after="0" w:line="240" w:lineRule="auto"/>
              <w:rPr>
                <w:rFonts w:ascii="Times New Roman" w:eastAsia="Times New Roman" w:hAnsi="Times New Roman" w:cs="Times New Roman"/>
                <w:color w:val="000000" w:themeColor="text1"/>
                <w:sz w:val="24"/>
                <w:szCs w:val="24"/>
                <w:lang w:eastAsia="es-SV"/>
              </w:rPr>
            </w:pPr>
            <w:hyperlink r:id="rId17" w:anchor="a10" w:history="1">
              <w:r w:rsidR="00CF4367" w:rsidRPr="009C0F75">
                <w:rPr>
                  <w:rFonts w:ascii="Times New Roman" w:eastAsia="Times New Roman" w:hAnsi="Times New Roman" w:cs="Times New Roman"/>
                  <w:b/>
                  <w:bCs/>
                  <w:color w:val="000000" w:themeColor="text1"/>
                  <w:sz w:val="24"/>
                  <w:szCs w:val="24"/>
                  <w:lang w:eastAsia="es-SV"/>
                </w:rPr>
                <w:t>Art. 10.3</w:t>
              </w:r>
            </w:hyperlink>
            <w:r w:rsidR="009C0F75" w:rsidRPr="009C0F75">
              <w:rPr>
                <w:rFonts w:ascii="Times New Roman" w:hAnsi="Times New Roman" w:cs="Times New Roman"/>
                <w:color w:val="000000" w:themeColor="text1"/>
                <w:sz w:val="24"/>
                <w:szCs w:val="24"/>
              </w:rPr>
              <w:t xml:space="preserve"> PIDCP</w:t>
            </w:r>
          </w:p>
          <w:p w:rsidR="00CF4367" w:rsidRPr="009C0F75" w:rsidRDefault="00D02360" w:rsidP="00CF4367">
            <w:pPr>
              <w:spacing w:after="0" w:line="240" w:lineRule="auto"/>
              <w:rPr>
                <w:rFonts w:ascii="Times New Roman" w:eastAsia="Times New Roman" w:hAnsi="Times New Roman" w:cs="Times New Roman"/>
                <w:color w:val="000000" w:themeColor="text1"/>
                <w:sz w:val="24"/>
                <w:szCs w:val="24"/>
                <w:lang w:eastAsia="es-SV"/>
              </w:rPr>
            </w:pPr>
            <w:hyperlink r:id="rId18" w:anchor="a14" w:history="1">
              <w:r w:rsidR="00CF4367" w:rsidRPr="009C0F75">
                <w:rPr>
                  <w:rFonts w:ascii="Times New Roman" w:eastAsia="Times New Roman" w:hAnsi="Times New Roman" w:cs="Times New Roman"/>
                  <w:b/>
                  <w:bCs/>
                  <w:color w:val="000000" w:themeColor="text1"/>
                  <w:sz w:val="24"/>
                  <w:szCs w:val="24"/>
                  <w:lang w:eastAsia="es-SV"/>
                </w:rPr>
                <w:t>Art. 14.4</w:t>
              </w:r>
            </w:hyperlink>
            <w:r w:rsidR="009C0F75" w:rsidRPr="009C0F75">
              <w:rPr>
                <w:rFonts w:ascii="Times New Roman" w:hAnsi="Times New Roman" w:cs="Times New Roman"/>
                <w:color w:val="000000" w:themeColor="text1"/>
                <w:sz w:val="24"/>
                <w:szCs w:val="24"/>
              </w:rPr>
              <w:t>PIDCP</w:t>
            </w:r>
          </w:p>
          <w:p w:rsidR="00CF4367" w:rsidRDefault="00CF4367" w:rsidP="004A5F71">
            <w:pPr>
              <w:spacing w:after="0" w:line="360" w:lineRule="auto"/>
              <w:jc w:val="both"/>
              <w:rPr>
                <w:rFonts w:ascii="Times New Roman" w:hAnsi="Times New Roman" w:cs="Times New Roman"/>
                <w:sz w:val="24"/>
                <w:szCs w:val="24"/>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C84F53"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4A5F71">
              <w:rPr>
                <w:rFonts w:ascii="Times New Roman" w:hAnsi="Times New Roman" w:cs="Times New Roman"/>
                <w:sz w:val="24"/>
                <w:szCs w:val="24"/>
              </w:rPr>
              <w:t xml:space="preserve">a Corte ha establecido que los  niños tienen derechos especiales a los que corresponden deberes específicos por  parte de la familia, la sociedad y el Estado. Su condición exige una protección  especial debida por este último y que debe ser entendida como un derecho  adicional y complementario a los demás derechos que la Convención reconoce a  toda persona. </w:t>
            </w:r>
            <w:r w:rsidR="004A5F71">
              <w:rPr>
                <w:rStyle w:val="Textoennegrita"/>
                <w:rFonts w:ascii="Times New Roman" w:hAnsi="Times New Roman" w:cs="Times New Roman"/>
                <w:sz w:val="24"/>
                <w:szCs w:val="24"/>
              </w:rPr>
              <w:t xml:space="preserve">Corte IDH. Casos Masacres de Río Negro y </w:t>
            </w:r>
            <w:proofErr w:type="spellStart"/>
            <w:r w:rsidR="004A5F71">
              <w:rPr>
                <w:rStyle w:val="Textoennegrita"/>
                <w:rFonts w:ascii="Times New Roman" w:hAnsi="Times New Roman" w:cs="Times New Roman"/>
                <w:sz w:val="24"/>
                <w:szCs w:val="24"/>
              </w:rPr>
              <w:t>Gudiel</w:t>
            </w:r>
            <w:proofErr w:type="spellEnd"/>
            <w:r w:rsidR="004A5F71">
              <w:rPr>
                <w:rStyle w:val="Textoennegrita"/>
                <w:rFonts w:ascii="Times New Roman" w:hAnsi="Times New Roman" w:cs="Times New Roman"/>
                <w:sz w:val="24"/>
                <w:szCs w:val="24"/>
              </w:rPr>
              <w:t xml:space="preserve"> </w:t>
            </w:r>
            <w:r w:rsidR="004A5F71">
              <w:rPr>
                <w:rStyle w:val="Textoennegrita"/>
                <w:rFonts w:ascii="Times New Roman" w:hAnsi="Times New Roman" w:cs="Times New Roman"/>
                <w:sz w:val="24"/>
                <w:szCs w:val="24"/>
              </w:rPr>
              <w:lastRenderedPageBreak/>
              <w:t>Álvarez y otros Vs. Guatemala. Supervisión de Cumplimiento de Sentencia. Resolución de la Corte Interamericana de Derechos Humanos de 21 de agosto de 2014</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5F71" w:rsidRDefault="004A5F71" w:rsidP="00C84F53">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Derecho a la Nacionalidad.</w:t>
            </w:r>
          </w:p>
          <w:p w:rsidR="004A5F71" w:rsidRDefault="004A5F71"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p>
          <w:p w:rsidR="004A5F71" w:rsidRDefault="004A5F71" w:rsidP="004A5F71">
            <w:pPr>
              <w:tabs>
                <w:tab w:val="left" w:pos="186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5F71" w:rsidRPr="00333C28" w:rsidRDefault="004A5F71" w:rsidP="004A5F71">
            <w:pPr>
              <w:spacing w:after="0" w:line="360" w:lineRule="auto"/>
              <w:jc w:val="both"/>
              <w:rPr>
                <w:rFonts w:ascii="Times New Roman" w:hAnsi="Times New Roman" w:cs="Times New Roman"/>
                <w:color w:val="000000" w:themeColor="text1"/>
                <w:sz w:val="24"/>
                <w:szCs w:val="24"/>
                <w:lang w:val="en-US"/>
              </w:rPr>
            </w:pPr>
            <w:r w:rsidRPr="00333C28">
              <w:rPr>
                <w:rFonts w:ascii="Times New Roman" w:hAnsi="Times New Roman" w:cs="Times New Roman"/>
                <w:color w:val="000000" w:themeColor="text1"/>
                <w:sz w:val="24"/>
                <w:szCs w:val="24"/>
                <w:lang w:val="en-US"/>
              </w:rPr>
              <w:t>Art. 20 CADH</w:t>
            </w:r>
          </w:p>
          <w:p w:rsidR="004A5F71" w:rsidRPr="00333C28" w:rsidRDefault="00D02360" w:rsidP="004A5F71">
            <w:pPr>
              <w:spacing w:after="0" w:line="240" w:lineRule="auto"/>
              <w:rPr>
                <w:rFonts w:ascii="Times New Roman" w:eastAsia="Times New Roman" w:hAnsi="Times New Roman" w:cs="Times New Roman"/>
                <w:color w:val="000000" w:themeColor="text1"/>
                <w:sz w:val="24"/>
                <w:szCs w:val="24"/>
                <w:lang w:val="en-US" w:eastAsia="es-SV"/>
              </w:rPr>
            </w:pPr>
            <w:hyperlink r:id="rId19" w:anchor="a13" w:history="1">
              <w:r w:rsidR="004A5F71" w:rsidRPr="00333C28">
                <w:rPr>
                  <w:rFonts w:ascii="Times New Roman" w:eastAsia="Times New Roman" w:hAnsi="Times New Roman" w:cs="Times New Roman"/>
                  <w:bCs/>
                  <w:color w:val="000000" w:themeColor="text1"/>
                  <w:sz w:val="24"/>
                  <w:szCs w:val="24"/>
                  <w:lang w:val="en-US" w:eastAsia="es-SV"/>
                </w:rPr>
                <w:t>Art. 13</w:t>
              </w:r>
            </w:hyperlink>
            <w:r w:rsidR="00333C28" w:rsidRPr="00333C28">
              <w:rPr>
                <w:rFonts w:ascii="Times New Roman" w:eastAsia="Times New Roman" w:hAnsi="Times New Roman" w:cs="Times New Roman"/>
                <w:color w:val="000000" w:themeColor="text1"/>
                <w:sz w:val="24"/>
                <w:szCs w:val="24"/>
                <w:lang w:val="en-US" w:eastAsia="es-SV"/>
              </w:rPr>
              <w:t xml:space="preserve"> PIDCP</w:t>
            </w:r>
          </w:p>
          <w:p w:rsidR="004A5F71" w:rsidRPr="00333C28" w:rsidRDefault="00D02360" w:rsidP="004A5F71">
            <w:pPr>
              <w:spacing w:after="0" w:line="240" w:lineRule="auto"/>
              <w:rPr>
                <w:rFonts w:ascii="Times New Roman" w:eastAsia="Times New Roman" w:hAnsi="Times New Roman" w:cs="Times New Roman"/>
                <w:color w:val="000000" w:themeColor="text1"/>
                <w:sz w:val="24"/>
                <w:szCs w:val="24"/>
                <w:lang w:val="en-US" w:eastAsia="es-SV"/>
              </w:rPr>
            </w:pPr>
            <w:hyperlink r:id="rId20" w:anchor="a24" w:history="1">
              <w:r w:rsidR="004A5F71" w:rsidRPr="00333C28">
                <w:rPr>
                  <w:rFonts w:ascii="Times New Roman" w:eastAsia="Times New Roman" w:hAnsi="Times New Roman" w:cs="Times New Roman"/>
                  <w:bCs/>
                  <w:color w:val="000000" w:themeColor="text1"/>
                  <w:sz w:val="24"/>
                  <w:szCs w:val="24"/>
                  <w:lang w:val="en-US" w:eastAsia="es-SV"/>
                </w:rPr>
                <w:t>Art. 24.3</w:t>
              </w:r>
            </w:hyperlink>
            <w:r w:rsidR="00333C28" w:rsidRPr="00333C28">
              <w:rPr>
                <w:rFonts w:ascii="Times New Roman" w:hAnsi="Times New Roman" w:cs="Times New Roman"/>
                <w:color w:val="000000" w:themeColor="text1"/>
                <w:sz w:val="24"/>
                <w:szCs w:val="24"/>
                <w:lang w:val="en-US"/>
              </w:rPr>
              <w:t xml:space="preserve"> PIDCP</w:t>
            </w:r>
          </w:p>
          <w:p w:rsidR="004A5F71" w:rsidRPr="00333C28" w:rsidRDefault="004A5F71" w:rsidP="004A5F71">
            <w:pPr>
              <w:spacing w:after="0" w:line="360" w:lineRule="auto"/>
              <w:jc w:val="both"/>
              <w:rPr>
                <w:rFonts w:ascii="Times New Roman" w:hAnsi="Times New Roman" w:cs="Times New Roman"/>
                <w:sz w:val="24"/>
                <w:szCs w:val="24"/>
                <w:lang w:val="en-US"/>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Pr="00267127" w:rsidRDefault="00C84F53" w:rsidP="004A5F71">
            <w:pPr>
              <w:spacing w:after="0" w:line="360" w:lineRule="auto"/>
              <w:jc w:val="both"/>
              <w:rPr>
                <w:rFonts w:ascii="Times New Roman" w:hAnsi="Times New Roman" w:cs="Times New Roman"/>
                <w:sz w:val="24"/>
                <w:szCs w:val="24"/>
                <w:lang w:val="en-US"/>
              </w:rPr>
            </w:pP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 derecho a la nacionalidad está reconocido por el derecho internacional. Este  Tribunal considera que se trata de un derecho de la persona humana. </w:t>
            </w:r>
            <w:proofErr w:type="gramStart"/>
            <w:r>
              <w:rPr>
                <w:rFonts w:ascii="Times New Roman" w:hAnsi="Times New Roman" w:cs="Times New Roman"/>
                <w:sz w:val="24"/>
                <w:szCs w:val="24"/>
              </w:rPr>
              <w:t>reconocen</w:t>
            </w:r>
            <w:proofErr w:type="gramEnd"/>
            <w:r>
              <w:rPr>
                <w:rFonts w:ascii="Times New Roman" w:hAnsi="Times New Roman" w:cs="Times New Roman"/>
                <w:sz w:val="24"/>
                <w:szCs w:val="24"/>
              </w:rPr>
              <w:t xml:space="preserve"> el derecho a la nacionalidad sin diferenciar la forma  en que ésta haya sido adquirida </w:t>
            </w:r>
            <w:r>
              <w:rPr>
                <w:rStyle w:val="Textoennegrita"/>
                <w:rFonts w:ascii="Times New Roman" w:hAnsi="Times New Roman" w:cs="Times New Roman"/>
                <w:sz w:val="24"/>
                <w:szCs w:val="24"/>
              </w:rPr>
              <w:t xml:space="preserve">Corte IDH. Casos Masacres de Río Negro y </w:t>
            </w:r>
            <w:proofErr w:type="spellStart"/>
            <w:r>
              <w:rPr>
                <w:rStyle w:val="Textoennegrita"/>
                <w:rFonts w:ascii="Times New Roman" w:hAnsi="Times New Roman" w:cs="Times New Roman"/>
                <w:sz w:val="24"/>
                <w:szCs w:val="24"/>
              </w:rPr>
              <w:t>Gudiel</w:t>
            </w:r>
            <w:proofErr w:type="spellEnd"/>
            <w:r>
              <w:rPr>
                <w:rStyle w:val="Textoennegrita"/>
                <w:rFonts w:ascii="Times New Roman" w:hAnsi="Times New Roman" w:cs="Times New Roman"/>
                <w:sz w:val="24"/>
                <w:szCs w:val="24"/>
              </w:rPr>
              <w:t xml:space="preserve"> Álvarez y otros Vs. Guatemala. Supervisión de Cumplimiento de Sentencia. Resolución de la Corte Interamericana de Derechos Humanos de 21 de agosto de 2014</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a la Propiedad Privada</w:t>
            </w: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21 CADH</w:t>
            </w:r>
          </w:p>
          <w:p w:rsidR="00EC1A84" w:rsidRDefault="00EC1A84"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La jurisprudencia  del Tribunal ha desarrollado un concepto amplio de propiedad que abarca, entre  otros, el uso y goce de los bienes, definidos como cosas materiales  apropiables, así como todo derecho que pueda formar parte del patrimonio de una  persona. Dicho concepto comprende todos los muebles e inmuebles, los elementos  corporales e incorporales y cualquier otro objeto inmaterial susceptible de  valor </w:t>
            </w:r>
            <w:r>
              <w:rPr>
                <w:rStyle w:val="Textoennegrita"/>
                <w:rFonts w:ascii="Times New Roman" w:hAnsi="Times New Roman" w:cs="Times New Roman"/>
                <w:sz w:val="24"/>
                <w:szCs w:val="24"/>
              </w:rPr>
              <w:t>Corte IDH. Caso Chaparro Álvarez y Lapo Íñiguez Vs. Ecuador. Supervisión de Cumplimiento de Sentencia. Resolución de la Corte Interamericana de Derechos Humanos de 27 de enero de 2015.</w:t>
            </w: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3C28" w:rsidRDefault="00333C28" w:rsidP="004A5F71">
            <w:pPr>
              <w:autoSpaceDE w:val="0"/>
              <w:autoSpaceDN w:val="0"/>
              <w:adjustRightInd w:val="0"/>
              <w:spacing w:after="0" w:line="360" w:lineRule="auto"/>
              <w:jc w:val="both"/>
              <w:rPr>
                <w:rFonts w:ascii="Times New Roman" w:hAnsi="Times New Roman" w:cs="Times New Roman"/>
                <w:sz w:val="24"/>
                <w:szCs w:val="24"/>
              </w:rPr>
            </w:pPr>
          </w:p>
          <w:p w:rsidR="00333C28" w:rsidRDefault="00333C28"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Derecho de Circulación y de Residencia</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3C28" w:rsidRPr="00333C28" w:rsidRDefault="00333C28" w:rsidP="004A5F71">
            <w:pPr>
              <w:spacing w:after="0" w:line="360" w:lineRule="auto"/>
              <w:jc w:val="both"/>
              <w:rPr>
                <w:rFonts w:ascii="Times New Roman" w:hAnsi="Times New Roman" w:cs="Times New Roman"/>
                <w:color w:val="000000" w:themeColor="text1"/>
                <w:sz w:val="24"/>
                <w:szCs w:val="24"/>
              </w:rPr>
            </w:pPr>
          </w:p>
          <w:p w:rsidR="00333C28" w:rsidRPr="00333C28" w:rsidRDefault="00333C28" w:rsidP="004A5F71">
            <w:pPr>
              <w:spacing w:after="0" w:line="360" w:lineRule="auto"/>
              <w:jc w:val="both"/>
              <w:rPr>
                <w:rFonts w:ascii="Times New Roman" w:hAnsi="Times New Roman" w:cs="Times New Roman"/>
                <w:color w:val="000000" w:themeColor="text1"/>
                <w:sz w:val="24"/>
                <w:szCs w:val="24"/>
              </w:rPr>
            </w:pPr>
          </w:p>
          <w:p w:rsidR="004A5F71" w:rsidRPr="00333C28" w:rsidRDefault="004A5F71" w:rsidP="004A5F71">
            <w:pPr>
              <w:spacing w:after="0" w:line="360" w:lineRule="auto"/>
              <w:jc w:val="both"/>
              <w:rPr>
                <w:rFonts w:ascii="Times New Roman" w:hAnsi="Times New Roman" w:cs="Times New Roman"/>
                <w:color w:val="000000" w:themeColor="text1"/>
                <w:sz w:val="24"/>
                <w:szCs w:val="24"/>
                <w:lang w:val="en-US"/>
              </w:rPr>
            </w:pPr>
            <w:r w:rsidRPr="00333C28">
              <w:rPr>
                <w:rFonts w:ascii="Times New Roman" w:hAnsi="Times New Roman" w:cs="Times New Roman"/>
                <w:color w:val="000000" w:themeColor="text1"/>
                <w:sz w:val="24"/>
                <w:szCs w:val="24"/>
                <w:lang w:val="en-US"/>
              </w:rPr>
              <w:t>Art. 22 CADH</w:t>
            </w:r>
          </w:p>
          <w:p w:rsidR="004A5F71" w:rsidRPr="00333C28" w:rsidRDefault="00D02360" w:rsidP="004A5F71">
            <w:pPr>
              <w:spacing w:after="0" w:line="360" w:lineRule="auto"/>
              <w:jc w:val="both"/>
              <w:rPr>
                <w:rFonts w:ascii="Times New Roman" w:hAnsi="Times New Roman" w:cs="Times New Roman"/>
                <w:sz w:val="24"/>
                <w:szCs w:val="24"/>
                <w:lang w:val="en-US"/>
              </w:rPr>
            </w:pPr>
            <w:hyperlink r:id="rId21" w:anchor="a12" w:history="1">
              <w:r w:rsidR="004A5F71" w:rsidRPr="00333C28">
                <w:rPr>
                  <w:rStyle w:val="Hipervnculo"/>
                  <w:rFonts w:ascii="Times New Roman" w:hAnsi="Times New Roman" w:cs="Times New Roman"/>
                  <w:bCs/>
                  <w:color w:val="000000" w:themeColor="text1"/>
                  <w:szCs w:val="24"/>
                  <w:u w:val="none"/>
                  <w:lang w:val="en-US"/>
                </w:rPr>
                <w:t>Art.12</w:t>
              </w:r>
            </w:hyperlink>
            <w:r w:rsidR="00333C28" w:rsidRPr="00333C28">
              <w:rPr>
                <w:rStyle w:val="apple-converted-space"/>
                <w:rFonts w:ascii="Times New Roman" w:hAnsi="Times New Roman" w:cs="Times New Roman"/>
                <w:bCs/>
                <w:color w:val="000000" w:themeColor="text1"/>
                <w:szCs w:val="24"/>
                <w:lang w:val="en-US"/>
              </w:rPr>
              <w:t>-</w:t>
            </w:r>
            <w:hyperlink r:id="rId22" w:anchor="a13" w:history="1">
              <w:r w:rsidR="004A5F71" w:rsidRPr="00333C28">
                <w:rPr>
                  <w:rStyle w:val="Hipervnculo"/>
                  <w:rFonts w:ascii="Times New Roman" w:hAnsi="Times New Roman" w:cs="Times New Roman"/>
                  <w:bCs/>
                  <w:color w:val="000000" w:themeColor="text1"/>
                  <w:szCs w:val="24"/>
                  <w:u w:val="none"/>
                  <w:lang w:val="en-US"/>
                </w:rPr>
                <w:t>13</w:t>
              </w:r>
            </w:hyperlink>
            <w:r w:rsidR="00333C28" w:rsidRPr="00333C28">
              <w:rPr>
                <w:rFonts w:ascii="Times New Roman" w:hAnsi="Times New Roman" w:cs="Times New Roman"/>
                <w:color w:val="000000" w:themeColor="text1"/>
                <w:szCs w:val="24"/>
                <w:lang w:val="en-US"/>
              </w:rPr>
              <w:t xml:space="preserve"> PIDCP</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5F71" w:rsidRDefault="00333C28"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E</w:t>
            </w:r>
            <w:r w:rsidR="004A5F71">
              <w:rPr>
                <w:rFonts w:ascii="Times New Roman" w:hAnsi="Times New Roman" w:cs="Times New Roman"/>
                <w:sz w:val="24"/>
                <w:szCs w:val="24"/>
              </w:rPr>
              <w:t>s una condición indispensable para el libre  desarrollo de la persona, y protege,</w:t>
            </w:r>
            <w:r w:rsidR="004A5F71">
              <w:rPr>
                <w:rStyle w:val="apple-converted-space"/>
                <w:rFonts w:ascii="Times New Roman" w:hAnsi="Times New Roman" w:cs="Times New Roman"/>
                <w:sz w:val="24"/>
                <w:szCs w:val="24"/>
              </w:rPr>
              <w:t> </w:t>
            </w:r>
            <w:r w:rsidR="004A5F71">
              <w:rPr>
                <w:rStyle w:val="nfasis"/>
                <w:rFonts w:ascii="Times New Roman" w:hAnsi="Times New Roman" w:cs="Times New Roman"/>
                <w:sz w:val="24"/>
                <w:szCs w:val="24"/>
              </w:rPr>
              <w:t>inter  </w:t>
            </w:r>
            <w:proofErr w:type="spellStart"/>
            <w:r w:rsidR="004A5F71">
              <w:rPr>
                <w:rStyle w:val="nfasis"/>
                <w:rFonts w:ascii="Times New Roman" w:hAnsi="Times New Roman" w:cs="Times New Roman"/>
                <w:sz w:val="24"/>
                <w:szCs w:val="24"/>
              </w:rPr>
              <w:t>alia</w:t>
            </w:r>
            <w:proofErr w:type="spellEnd"/>
            <w:r w:rsidR="004A5F71">
              <w:rPr>
                <w:rFonts w:ascii="Times New Roman" w:hAnsi="Times New Roman" w:cs="Times New Roman"/>
                <w:sz w:val="24"/>
                <w:szCs w:val="24"/>
              </w:rPr>
              <w:t xml:space="preserve">, el derecho a no ser desplazado forzadamente dentro de un Estado Parte  y a no tener que salir forzadamente fuera del territorio del Estado en el cual  se halle legalmente. Este derecho puede ser vulnerado de manera formal o por  restricciones de facto si el Estado no ha establecido </w:t>
            </w:r>
            <w:proofErr w:type="gramStart"/>
            <w:r w:rsidR="004A5F71">
              <w:rPr>
                <w:rFonts w:ascii="Times New Roman" w:hAnsi="Times New Roman" w:cs="Times New Roman"/>
                <w:sz w:val="24"/>
                <w:szCs w:val="24"/>
              </w:rPr>
              <w:t>las condiciones ni  provisto</w:t>
            </w:r>
            <w:proofErr w:type="gramEnd"/>
            <w:r w:rsidR="004A5F71">
              <w:rPr>
                <w:rFonts w:ascii="Times New Roman" w:hAnsi="Times New Roman" w:cs="Times New Roman"/>
                <w:sz w:val="24"/>
                <w:szCs w:val="24"/>
              </w:rPr>
              <w:t xml:space="preserve"> los medios que permiten ejercerlo </w:t>
            </w:r>
            <w:r w:rsidR="004A5F71">
              <w:rPr>
                <w:rStyle w:val="Textoennegrita"/>
                <w:rFonts w:ascii="Times New Roman" w:hAnsi="Times New Roman" w:cs="Times New Roman"/>
                <w:sz w:val="24"/>
                <w:szCs w:val="24"/>
              </w:rPr>
              <w:t xml:space="preserve">Corte IDH. Caso </w:t>
            </w:r>
            <w:proofErr w:type="spellStart"/>
            <w:r w:rsidR="004A5F71">
              <w:rPr>
                <w:rStyle w:val="Textoennegrita"/>
                <w:rFonts w:ascii="Times New Roman" w:hAnsi="Times New Roman" w:cs="Times New Roman"/>
                <w:sz w:val="24"/>
                <w:szCs w:val="24"/>
              </w:rPr>
              <w:t>Gudiel</w:t>
            </w:r>
            <w:proofErr w:type="spellEnd"/>
            <w:r w:rsidR="004A5F71">
              <w:rPr>
                <w:rStyle w:val="Textoennegrita"/>
                <w:rFonts w:ascii="Times New Roman" w:hAnsi="Times New Roman" w:cs="Times New Roman"/>
                <w:sz w:val="24"/>
                <w:szCs w:val="24"/>
              </w:rPr>
              <w:t xml:space="preserve"> Álvarez y otros ("Diario Militar") Vs. Guatemala. Interpretación de la Sentencia de Fondo, Reparaciones y Costas. Sentencia de 19 de agosto de 2013. Serie C No. 262</w:t>
            </w: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3C28" w:rsidRDefault="00333C28" w:rsidP="004A5F71">
            <w:pPr>
              <w:autoSpaceDE w:val="0"/>
              <w:autoSpaceDN w:val="0"/>
              <w:adjustRightInd w:val="0"/>
              <w:spacing w:after="0" w:line="360" w:lineRule="auto"/>
              <w:jc w:val="both"/>
              <w:rPr>
                <w:rFonts w:ascii="Times New Roman" w:hAnsi="Times New Roman" w:cs="Times New Roman"/>
                <w:sz w:val="24"/>
                <w:szCs w:val="24"/>
              </w:rPr>
            </w:pPr>
          </w:p>
          <w:p w:rsidR="00333C28" w:rsidRDefault="00333C28"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Derechos Políticos</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33C28" w:rsidRDefault="00333C28" w:rsidP="004A5F71">
            <w:pPr>
              <w:spacing w:after="0" w:line="360" w:lineRule="auto"/>
              <w:jc w:val="both"/>
              <w:rPr>
                <w:rFonts w:ascii="Times New Roman" w:hAnsi="Times New Roman" w:cs="Times New Roman"/>
                <w:sz w:val="24"/>
                <w:szCs w:val="24"/>
              </w:rPr>
            </w:pPr>
          </w:p>
          <w:p w:rsidR="00333C28" w:rsidRDefault="00333C28"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23 CADH</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5F71" w:rsidRDefault="00333C28"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w:t>
            </w:r>
            <w:r w:rsidR="00D8253F">
              <w:rPr>
                <w:rFonts w:ascii="Times New Roman" w:hAnsi="Times New Roman" w:cs="Times New Roman"/>
                <w:sz w:val="24"/>
                <w:szCs w:val="24"/>
              </w:rPr>
              <w:t>a  establecido que “e</w:t>
            </w:r>
            <w:r w:rsidR="004A5F71">
              <w:rPr>
                <w:rFonts w:ascii="Times New Roman" w:hAnsi="Times New Roman" w:cs="Times New Roman"/>
                <w:sz w:val="24"/>
                <w:szCs w:val="24"/>
              </w:rPr>
              <w:t xml:space="preserve">n una sociedad democrática los derechos y libertades  inherentes a la persona, sus garantías y el estado de derecho constituyen una  tríada”, en la que cada componente se define, completa y adquiere sentido en  función de los otros. </w:t>
            </w:r>
            <w:r w:rsidR="004A5F71">
              <w:rPr>
                <w:rStyle w:val="Textoennegrita"/>
                <w:rFonts w:ascii="Times New Roman" w:hAnsi="Times New Roman" w:cs="Times New Roman"/>
                <w:sz w:val="24"/>
                <w:szCs w:val="24"/>
              </w:rPr>
              <w:t xml:space="preserve">Corte IDH. Caso </w:t>
            </w:r>
            <w:proofErr w:type="spellStart"/>
            <w:r w:rsidR="004A5F71">
              <w:rPr>
                <w:rStyle w:val="Textoennegrita"/>
                <w:rFonts w:ascii="Times New Roman" w:hAnsi="Times New Roman" w:cs="Times New Roman"/>
                <w:sz w:val="24"/>
                <w:szCs w:val="24"/>
              </w:rPr>
              <w:t>Yatama</w:t>
            </w:r>
            <w:proofErr w:type="spellEnd"/>
            <w:r w:rsidR="004A5F71">
              <w:rPr>
                <w:rStyle w:val="Textoennegrita"/>
                <w:rFonts w:ascii="Times New Roman" w:hAnsi="Times New Roman" w:cs="Times New Roman"/>
                <w:sz w:val="24"/>
                <w:szCs w:val="24"/>
              </w:rPr>
              <w:t xml:space="preserve"> Vs. Nicaragua. Supervisión de Cumplimiento de Sentencia. Resolución de la Corte Interamericana de Derechos Humanos de 22 de agosto de 2013.</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Igualdad ante la Ley</w:t>
            </w: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color w:val="000000" w:themeColor="text1"/>
                <w:sz w:val="24"/>
                <w:szCs w:val="24"/>
                <w:lang w:val="en-US"/>
              </w:rPr>
            </w:pPr>
          </w:p>
          <w:p w:rsidR="009C0F75" w:rsidRDefault="009C0F75" w:rsidP="004A5F71">
            <w:pPr>
              <w:spacing w:after="0" w:line="360" w:lineRule="auto"/>
              <w:jc w:val="both"/>
              <w:rPr>
                <w:rFonts w:ascii="Times New Roman" w:hAnsi="Times New Roman" w:cs="Times New Roman"/>
                <w:color w:val="000000" w:themeColor="text1"/>
                <w:sz w:val="24"/>
                <w:szCs w:val="24"/>
                <w:lang w:val="en-US"/>
              </w:rPr>
            </w:pPr>
          </w:p>
          <w:p w:rsidR="009C0F75" w:rsidRDefault="009C0F75" w:rsidP="004A5F71">
            <w:pPr>
              <w:spacing w:after="0" w:line="360" w:lineRule="auto"/>
              <w:jc w:val="both"/>
              <w:rPr>
                <w:rFonts w:ascii="Times New Roman" w:hAnsi="Times New Roman" w:cs="Times New Roman"/>
                <w:color w:val="000000" w:themeColor="text1"/>
                <w:sz w:val="24"/>
                <w:szCs w:val="24"/>
                <w:lang w:val="en-US"/>
              </w:rPr>
            </w:pPr>
          </w:p>
          <w:p w:rsidR="009C0F75" w:rsidRDefault="009C0F75" w:rsidP="004A5F71">
            <w:pPr>
              <w:spacing w:after="0" w:line="360" w:lineRule="auto"/>
              <w:jc w:val="both"/>
              <w:rPr>
                <w:rFonts w:ascii="Times New Roman" w:hAnsi="Times New Roman" w:cs="Times New Roman"/>
                <w:color w:val="000000" w:themeColor="text1"/>
                <w:sz w:val="24"/>
                <w:szCs w:val="24"/>
                <w:lang w:val="en-US"/>
              </w:rPr>
            </w:pPr>
          </w:p>
          <w:p w:rsidR="004A5F71" w:rsidRPr="009C0F75" w:rsidRDefault="004A5F71" w:rsidP="004A5F71">
            <w:pPr>
              <w:spacing w:after="0" w:line="360" w:lineRule="auto"/>
              <w:jc w:val="both"/>
              <w:rPr>
                <w:rFonts w:ascii="Times New Roman" w:hAnsi="Times New Roman" w:cs="Times New Roman"/>
                <w:color w:val="000000" w:themeColor="text1"/>
                <w:sz w:val="24"/>
                <w:szCs w:val="24"/>
                <w:lang w:val="en-US"/>
              </w:rPr>
            </w:pPr>
            <w:r w:rsidRPr="009C0F75">
              <w:rPr>
                <w:rFonts w:ascii="Times New Roman" w:hAnsi="Times New Roman" w:cs="Times New Roman"/>
                <w:color w:val="000000" w:themeColor="text1"/>
                <w:sz w:val="24"/>
                <w:szCs w:val="24"/>
                <w:lang w:val="en-US"/>
              </w:rPr>
              <w:t>Art. 24 CADH</w:t>
            </w:r>
          </w:p>
          <w:p w:rsidR="00D8253F" w:rsidRPr="009C0F75" w:rsidRDefault="00D02360" w:rsidP="00D8253F">
            <w:pPr>
              <w:spacing w:before="30" w:after="60" w:line="240" w:lineRule="auto"/>
              <w:rPr>
                <w:rFonts w:ascii="Times New Roman" w:eastAsia="Times New Roman" w:hAnsi="Times New Roman" w:cs="Times New Roman"/>
                <w:color w:val="000000" w:themeColor="text1"/>
                <w:sz w:val="24"/>
                <w:szCs w:val="24"/>
                <w:lang w:val="en-US" w:eastAsia="es-SV"/>
              </w:rPr>
            </w:pPr>
            <w:hyperlink r:id="rId23" w:anchor="a6" w:history="1">
              <w:r w:rsidR="00D8253F" w:rsidRPr="009C0F75">
                <w:rPr>
                  <w:rFonts w:ascii="Times New Roman" w:eastAsia="Times New Roman" w:hAnsi="Times New Roman" w:cs="Times New Roman"/>
                  <w:bCs/>
                  <w:color w:val="000000" w:themeColor="text1"/>
                  <w:sz w:val="24"/>
                  <w:szCs w:val="24"/>
                  <w:lang w:val="en-US" w:eastAsia="es-SV"/>
                </w:rPr>
                <w:t>Art. 6</w:t>
              </w:r>
            </w:hyperlink>
            <w:r w:rsidR="00333C28" w:rsidRPr="009C0F75">
              <w:rPr>
                <w:rFonts w:ascii="Times New Roman" w:hAnsi="Times New Roman" w:cs="Times New Roman"/>
                <w:color w:val="000000" w:themeColor="text1"/>
                <w:sz w:val="24"/>
                <w:szCs w:val="24"/>
              </w:rPr>
              <w:t xml:space="preserve"> </w:t>
            </w:r>
            <w:r w:rsidR="009C0F75" w:rsidRPr="009C0F75">
              <w:rPr>
                <w:rFonts w:ascii="Times New Roman" w:hAnsi="Times New Roman" w:cs="Times New Roman"/>
                <w:color w:val="000000" w:themeColor="text1"/>
                <w:sz w:val="24"/>
                <w:szCs w:val="24"/>
              </w:rPr>
              <w:t>PIDCP</w:t>
            </w:r>
          </w:p>
          <w:p w:rsidR="00D8253F" w:rsidRPr="009C0F75" w:rsidRDefault="00D8253F" w:rsidP="00333C28">
            <w:pPr>
              <w:spacing w:after="30" w:line="240" w:lineRule="auto"/>
              <w:rPr>
                <w:rFonts w:ascii="Times New Roman" w:hAnsi="Times New Roman" w:cs="Times New Roman"/>
                <w:color w:val="000000" w:themeColor="text1"/>
                <w:sz w:val="24"/>
                <w:szCs w:val="24"/>
                <w:lang w:val="en-US"/>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5F71" w:rsidRDefault="009C0F75"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w:t>
            </w:r>
            <w:r w:rsidR="004A5F71">
              <w:rPr>
                <w:rFonts w:ascii="Times New Roman" w:hAnsi="Times New Roman" w:cs="Times New Roman"/>
                <w:sz w:val="24"/>
                <w:szCs w:val="24"/>
              </w:rPr>
              <w:t xml:space="preserve">a protección igualitaria y efectiva de la ley y de la no discriminación  constituye un dato sobresaliente en el sistema tutelar de los derechos humanos  consagrado en muchos instrumentos internacionales  y desarrollado por la doctrina y  jurisprudencia internacionales </w:t>
            </w:r>
            <w:r w:rsidR="004A5F71">
              <w:rPr>
                <w:rStyle w:val="Textoennegrita"/>
                <w:rFonts w:ascii="Times New Roman" w:hAnsi="Times New Roman" w:cs="Times New Roman"/>
                <w:sz w:val="24"/>
                <w:szCs w:val="24"/>
              </w:rPr>
              <w:lastRenderedPageBreak/>
              <w:t xml:space="preserve">Corte IDH. Caso </w:t>
            </w:r>
            <w:proofErr w:type="spellStart"/>
            <w:r w:rsidR="004A5F71">
              <w:rPr>
                <w:rStyle w:val="Textoennegrita"/>
                <w:rFonts w:ascii="Times New Roman" w:hAnsi="Times New Roman" w:cs="Times New Roman"/>
                <w:sz w:val="24"/>
                <w:szCs w:val="24"/>
              </w:rPr>
              <w:t>Yatama</w:t>
            </w:r>
            <w:proofErr w:type="spellEnd"/>
            <w:r w:rsidR="004A5F71">
              <w:rPr>
                <w:rStyle w:val="Textoennegrita"/>
                <w:rFonts w:ascii="Times New Roman" w:hAnsi="Times New Roman" w:cs="Times New Roman"/>
                <w:sz w:val="24"/>
                <w:szCs w:val="24"/>
              </w:rPr>
              <w:t xml:space="preserve"> Vs. Nicaragua. Supervisión de Cumplimiento de Sentencia. Resolución de la Corte Interamericana de Derechos Humanos de 22 de agosto de 2013.</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autoSpaceDE w:val="0"/>
              <w:autoSpaceDN w:val="0"/>
              <w:adjustRightInd w:val="0"/>
              <w:spacing w:after="0" w:line="360" w:lineRule="auto"/>
              <w:jc w:val="both"/>
              <w:rPr>
                <w:rFonts w:ascii="Times New Roman" w:hAnsi="Times New Roman" w:cs="Times New Roman"/>
                <w:sz w:val="24"/>
                <w:szCs w:val="24"/>
              </w:rPr>
            </w:pPr>
          </w:p>
          <w:p w:rsidR="00C84F53" w:rsidRDefault="00C84F53"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Protección Judicial</w:t>
            </w:r>
          </w:p>
          <w:p w:rsidR="004A5F71" w:rsidRDefault="004A5F71" w:rsidP="004A5F71">
            <w:pPr>
              <w:spacing w:after="0" w:line="360" w:lineRule="auto"/>
              <w:jc w:val="both"/>
              <w:rPr>
                <w:rFonts w:ascii="Times New Roman" w:hAnsi="Times New Roman" w:cs="Times New Roman"/>
                <w:sz w:val="24"/>
                <w:szCs w:val="24"/>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0F75" w:rsidRDefault="009C0F75" w:rsidP="004A5F71">
            <w:pPr>
              <w:spacing w:after="0" w:line="360" w:lineRule="auto"/>
              <w:jc w:val="both"/>
              <w:rPr>
                <w:rFonts w:ascii="Times New Roman" w:hAnsi="Times New Roman" w:cs="Times New Roman"/>
                <w:color w:val="000000" w:themeColor="text1"/>
                <w:sz w:val="24"/>
                <w:szCs w:val="24"/>
                <w:lang w:val="en-US"/>
              </w:rPr>
            </w:pPr>
          </w:p>
          <w:p w:rsidR="004A5F71" w:rsidRPr="009C0F75" w:rsidRDefault="004A5F71" w:rsidP="004A5F71">
            <w:pPr>
              <w:spacing w:after="0" w:line="360" w:lineRule="auto"/>
              <w:jc w:val="both"/>
              <w:rPr>
                <w:rFonts w:ascii="Times New Roman" w:hAnsi="Times New Roman" w:cs="Times New Roman"/>
                <w:color w:val="000000" w:themeColor="text1"/>
                <w:sz w:val="24"/>
                <w:szCs w:val="24"/>
                <w:lang w:val="en-US"/>
              </w:rPr>
            </w:pPr>
            <w:r w:rsidRPr="009C0F75">
              <w:rPr>
                <w:rFonts w:ascii="Times New Roman" w:hAnsi="Times New Roman" w:cs="Times New Roman"/>
                <w:color w:val="000000" w:themeColor="text1"/>
                <w:sz w:val="24"/>
                <w:szCs w:val="24"/>
                <w:lang w:val="en-US"/>
              </w:rPr>
              <w:t>Art.  25 CADH</w:t>
            </w:r>
          </w:p>
          <w:p w:rsidR="00D8253F" w:rsidRPr="009C0F75" w:rsidRDefault="00D02360" w:rsidP="00D8253F">
            <w:pPr>
              <w:spacing w:after="0" w:line="240" w:lineRule="auto"/>
              <w:rPr>
                <w:rFonts w:ascii="Times New Roman" w:eastAsia="Times New Roman" w:hAnsi="Times New Roman" w:cs="Times New Roman"/>
                <w:color w:val="000000" w:themeColor="text1"/>
                <w:sz w:val="24"/>
                <w:szCs w:val="24"/>
                <w:lang w:val="en-US" w:eastAsia="es-SV"/>
              </w:rPr>
            </w:pPr>
            <w:hyperlink r:id="rId24" w:anchor="a2" w:history="1">
              <w:r w:rsidR="00D8253F" w:rsidRPr="009C0F75">
                <w:rPr>
                  <w:rFonts w:ascii="Times New Roman" w:eastAsia="Times New Roman" w:hAnsi="Times New Roman" w:cs="Times New Roman"/>
                  <w:bCs/>
                  <w:color w:val="000000" w:themeColor="text1"/>
                  <w:sz w:val="24"/>
                  <w:szCs w:val="24"/>
                  <w:lang w:val="en-US" w:eastAsia="es-SV"/>
                </w:rPr>
                <w:t>Art. 2.3</w:t>
              </w:r>
            </w:hyperlink>
            <w:r w:rsidR="009C0F75" w:rsidRPr="009C0F75">
              <w:rPr>
                <w:rFonts w:ascii="Times New Roman" w:hAnsi="Times New Roman" w:cs="Times New Roman"/>
                <w:color w:val="000000" w:themeColor="text1"/>
                <w:sz w:val="24"/>
                <w:szCs w:val="24"/>
                <w:lang w:val="en-US"/>
              </w:rPr>
              <w:t xml:space="preserve"> PIDCP</w:t>
            </w:r>
          </w:p>
          <w:p w:rsidR="00D8253F" w:rsidRPr="009C0F75" w:rsidRDefault="00D02360" w:rsidP="00D8253F">
            <w:pPr>
              <w:spacing w:after="0" w:line="240" w:lineRule="auto"/>
              <w:rPr>
                <w:rFonts w:ascii="Times New Roman" w:eastAsia="Times New Roman" w:hAnsi="Times New Roman" w:cs="Times New Roman"/>
                <w:color w:val="000000" w:themeColor="text1"/>
                <w:sz w:val="24"/>
                <w:szCs w:val="24"/>
                <w:lang w:val="en-US" w:eastAsia="es-SV"/>
              </w:rPr>
            </w:pPr>
            <w:hyperlink r:id="rId25" w:anchor="a14" w:history="1">
              <w:r w:rsidR="00D8253F" w:rsidRPr="009C0F75">
                <w:rPr>
                  <w:rFonts w:ascii="Times New Roman" w:eastAsia="Times New Roman" w:hAnsi="Times New Roman" w:cs="Times New Roman"/>
                  <w:bCs/>
                  <w:color w:val="000000" w:themeColor="text1"/>
                  <w:sz w:val="24"/>
                  <w:szCs w:val="24"/>
                  <w:lang w:val="en-US" w:eastAsia="es-SV"/>
                </w:rPr>
                <w:t>Art. 14</w:t>
              </w:r>
            </w:hyperlink>
            <w:r w:rsidR="009C0F75" w:rsidRPr="009C0F75">
              <w:rPr>
                <w:rFonts w:ascii="Times New Roman" w:hAnsi="Times New Roman" w:cs="Times New Roman"/>
                <w:color w:val="000000" w:themeColor="text1"/>
                <w:sz w:val="24"/>
                <w:szCs w:val="24"/>
                <w:lang w:val="en-US"/>
              </w:rPr>
              <w:t xml:space="preserve"> PIDCP</w:t>
            </w:r>
          </w:p>
          <w:p w:rsidR="00D8253F" w:rsidRPr="009C0F75" w:rsidRDefault="00D8253F" w:rsidP="004A5F71">
            <w:pPr>
              <w:spacing w:after="0" w:line="360" w:lineRule="auto"/>
              <w:jc w:val="both"/>
              <w:rPr>
                <w:rFonts w:ascii="Times New Roman" w:hAnsi="Times New Roman" w:cs="Times New Roman"/>
                <w:sz w:val="24"/>
                <w:szCs w:val="24"/>
                <w:lang w:val="en-US"/>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5F71" w:rsidRDefault="009C0F75"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4A5F71">
              <w:rPr>
                <w:rFonts w:ascii="Times New Roman" w:hAnsi="Times New Roman" w:cs="Times New Roman"/>
                <w:sz w:val="24"/>
                <w:szCs w:val="24"/>
              </w:rPr>
              <w:t xml:space="preserve">erecho toda persona  sometida a proceso, además de ser indispensables </w:t>
            </w:r>
            <w:proofErr w:type="gramStart"/>
            <w:r w:rsidR="004A5F71">
              <w:rPr>
                <w:rFonts w:ascii="Times New Roman" w:hAnsi="Times New Roman" w:cs="Times New Roman"/>
                <w:sz w:val="24"/>
                <w:szCs w:val="24"/>
              </w:rPr>
              <w:t>deben</w:t>
            </w:r>
            <w:proofErr w:type="gramEnd"/>
            <w:r w:rsidR="004A5F71">
              <w:rPr>
                <w:rFonts w:ascii="Times New Roman" w:hAnsi="Times New Roman" w:cs="Times New Roman"/>
                <w:sz w:val="24"/>
                <w:szCs w:val="24"/>
              </w:rPr>
              <w:t xml:space="preserve"> ser judiciales, “lo cual  implica la intervención de un órgano judicial independiente e imparcial, apto  para determinar la legalidad de las actuaciones que se cumplan dentro del  estado de excepción </w:t>
            </w:r>
            <w:r w:rsidR="004A5F71">
              <w:rPr>
                <w:rStyle w:val="Textoennegrita"/>
                <w:rFonts w:ascii="Times New Roman" w:hAnsi="Times New Roman" w:cs="Times New Roman"/>
                <w:sz w:val="24"/>
                <w:szCs w:val="24"/>
              </w:rPr>
              <w:t xml:space="preserve">Corte IDH. Caso </w:t>
            </w:r>
            <w:r w:rsidR="00C84F53">
              <w:rPr>
                <w:rStyle w:val="Textoennegrita"/>
                <w:rFonts w:ascii="Times New Roman" w:hAnsi="Times New Roman" w:cs="Times New Roman"/>
                <w:sz w:val="24"/>
                <w:szCs w:val="24"/>
              </w:rPr>
              <w:t>Germán</w:t>
            </w:r>
            <w:r w:rsidR="004A5F71">
              <w:rPr>
                <w:rStyle w:val="Textoennegrita"/>
                <w:rFonts w:ascii="Times New Roman" w:hAnsi="Times New Roman" w:cs="Times New Roman"/>
                <w:sz w:val="24"/>
                <w:szCs w:val="24"/>
              </w:rPr>
              <w:t xml:space="preserve"> Vs. </w:t>
            </w:r>
            <w:r w:rsidR="00C84F53">
              <w:rPr>
                <w:rStyle w:val="Textoennegrita"/>
                <w:rFonts w:ascii="Times New Roman" w:hAnsi="Times New Roman" w:cs="Times New Roman"/>
                <w:sz w:val="24"/>
                <w:szCs w:val="24"/>
              </w:rPr>
              <w:t xml:space="preserve">Uruguay. </w:t>
            </w:r>
            <w:r w:rsidR="004A5F71">
              <w:rPr>
                <w:rStyle w:val="Textoennegrita"/>
                <w:rFonts w:ascii="Times New Roman" w:hAnsi="Times New Roman" w:cs="Times New Roman"/>
                <w:sz w:val="24"/>
                <w:szCs w:val="24"/>
              </w:rPr>
              <w:t>Supervisión de Cumplimiento de Sentencia. Resolución de la Corte Interamericana de Derechos Humanos 20 de marzo de 2013</w:t>
            </w:r>
          </w:p>
        </w:tc>
      </w:tr>
      <w:tr w:rsidR="004A5F71" w:rsidTr="000D1CFC">
        <w:trPr>
          <w:trHeight w:val="757"/>
        </w:trPr>
        <w:tc>
          <w:tcPr>
            <w:tcW w:w="974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84F53" w:rsidRDefault="004A5F71" w:rsidP="004A5F71">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rsidR="004A5F71" w:rsidRDefault="004A5F71" w:rsidP="00C84F53">
            <w:pPr>
              <w:spacing w:after="0" w:line="360" w:lineRule="auto"/>
              <w:jc w:val="center"/>
              <w:rPr>
                <w:rFonts w:ascii="Times New Roman" w:hAnsi="Times New Roman" w:cs="Times New Roman"/>
                <w:sz w:val="24"/>
                <w:szCs w:val="24"/>
              </w:rPr>
            </w:pPr>
            <w:r>
              <w:rPr>
                <w:rFonts w:ascii="Times New Roman" w:hAnsi="Times New Roman" w:cs="Times New Roman"/>
                <w:b/>
                <w:bCs/>
                <w:sz w:val="24"/>
                <w:szCs w:val="24"/>
              </w:rPr>
              <w:t>DERECHOS ECONOMICOS, SOCIALES Y CULTURALES</w:t>
            </w:r>
          </w:p>
        </w:tc>
      </w:tr>
      <w:tr w:rsidR="004A5F71" w:rsidTr="000D1CFC">
        <w:tc>
          <w:tcPr>
            <w:tcW w:w="29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p>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Desarrollo Progresivo.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A5F71" w:rsidRDefault="004A5F71" w:rsidP="004A5F71">
            <w:pPr>
              <w:spacing w:after="0" w:line="360" w:lineRule="auto"/>
              <w:jc w:val="both"/>
              <w:rPr>
                <w:rFonts w:ascii="Times New Roman" w:hAnsi="Times New Roman" w:cs="Times New Roman"/>
                <w:sz w:val="24"/>
                <w:szCs w:val="24"/>
              </w:rPr>
            </w:pPr>
          </w:p>
          <w:p w:rsidR="009C0F75" w:rsidRDefault="009C0F75" w:rsidP="004A5F71">
            <w:pPr>
              <w:spacing w:after="0" w:line="360" w:lineRule="auto"/>
              <w:jc w:val="both"/>
              <w:rPr>
                <w:rFonts w:ascii="Times New Roman" w:hAnsi="Times New Roman" w:cs="Times New Roman"/>
                <w:sz w:val="24"/>
                <w:szCs w:val="24"/>
              </w:rPr>
            </w:pPr>
          </w:p>
          <w:p w:rsidR="004A5F71" w:rsidRDefault="004A5F71"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Art.  26 CADH</w:t>
            </w:r>
          </w:p>
          <w:p w:rsidR="00E10ACD" w:rsidRDefault="00E10ACD" w:rsidP="004A5F7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A5F71" w:rsidRDefault="004A5F71" w:rsidP="004A5F7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El desarrollo progresivo de los derechos económicos,  sociales y culturales ha sido materia de pronunciamiento por parte del Comité  de Derechos Económicos, Sociales y Culturales de las Naciones Unidas, en el  sentido de que la plena efectividad de aquéllos </w:t>
            </w:r>
            <w:proofErr w:type="gramStart"/>
            <w:r>
              <w:rPr>
                <w:rFonts w:ascii="Times New Roman" w:hAnsi="Times New Roman" w:cs="Times New Roman"/>
                <w:sz w:val="24"/>
                <w:szCs w:val="24"/>
              </w:rPr>
              <w:t>que ;no</w:t>
            </w:r>
            <w:proofErr w:type="gramEnd"/>
            <w:r>
              <w:rPr>
                <w:rFonts w:ascii="Times New Roman" w:hAnsi="Times New Roman" w:cs="Times New Roman"/>
                <w:sz w:val="24"/>
                <w:szCs w:val="24"/>
              </w:rPr>
              <w:t xml:space="preserve"> podrá lograrse en un breve  período de tiempo; y que, en esa medida ;requiere un dispositivo de  flexibilidad necesaria que refleje las realidades del mundo</w:t>
            </w:r>
            <w:r>
              <w:rPr>
                <w:rStyle w:val="apple-converted-space"/>
                <w:rFonts w:ascii="Times New Roman" w:hAnsi="Times New Roman" w:cs="Times New Roman"/>
                <w:sz w:val="24"/>
                <w:szCs w:val="24"/>
              </w:rPr>
              <w:t> </w:t>
            </w:r>
            <w:r>
              <w:rPr>
                <w:rStyle w:val="Textoennegrita"/>
                <w:rFonts w:ascii="Times New Roman" w:hAnsi="Times New Roman" w:cs="Times New Roman"/>
                <w:sz w:val="24"/>
                <w:szCs w:val="24"/>
              </w:rPr>
              <w:t>Corte IDH. Caso Acevedo Buendía y otros (“Cesantes y Jubilados de la Contraloría”) Vs. Perú. Supervisión de Cumplimiento de Sentencia. Resolución de la Corte Interamericana de Derechos Humanos de 28 de enero de 2015</w:t>
            </w:r>
          </w:p>
        </w:tc>
      </w:tr>
    </w:tbl>
    <w:p w:rsidR="000D1CFC" w:rsidRDefault="000D1CFC" w:rsidP="000D1CFC">
      <w:pPr>
        <w:spacing w:line="360" w:lineRule="auto"/>
        <w:jc w:val="both"/>
        <w:rPr>
          <w:rFonts w:ascii="Times New Roman" w:hAnsi="Times New Roman" w:cs="Times New Roman"/>
          <w:sz w:val="24"/>
          <w:szCs w:val="24"/>
        </w:rPr>
      </w:pPr>
    </w:p>
    <w:p w:rsidR="000D1CFC" w:rsidRDefault="000D1CFC" w:rsidP="000D1CFC">
      <w:pPr>
        <w:spacing w:line="360" w:lineRule="auto"/>
        <w:jc w:val="both"/>
        <w:rPr>
          <w:rFonts w:ascii="Times New Roman" w:hAnsi="Times New Roman" w:cs="Times New Roman"/>
          <w:sz w:val="24"/>
          <w:szCs w:val="24"/>
        </w:rPr>
      </w:pPr>
    </w:p>
    <w:p w:rsidR="00FE4547" w:rsidRDefault="00FE4547"/>
    <w:sectPr w:rsidR="00FE4547" w:rsidSect="007163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2"/>
  </w:compat>
  <w:rsids>
    <w:rsidRoot w:val="000D1CFC"/>
    <w:rsid w:val="000D1CFC"/>
    <w:rsid w:val="001B0E65"/>
    <w:rsid w:val="00267127"/>
    <w:rsid w:val="00333C28"/>
    <w:rsid w:val="00483219"/>
    <w:rsid w:val="004A5F71"/>
    <w:rsid w:val="005140AE"/>
    <w:rsid w:val="005842F5"/>
    <w:rsid w:val="0068326E"/>
    <w:rsid w:val="006D5259"/>
    <w:rsid w:val="00716376"/>
    <w:rsid w:val="009853AA"/>
    <w:rsid w:val="009C0F75"/>
    <w:rsid w:val="00C84F53"/>
    <w:rsid w:val="00CF4367"/>
    <w:rsid w:val="00D02360"/>
    <w:rsid w:val="00D8253F"/>
    <w:rsid w:val="00E10ACD"/>
    <w:rsid w:val="00EC1A84"/>
    <w:rsid w:val="00FE4547"/>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CFC"/>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0D1CFC"/>
    <w:pPr>
      <w:spacing w:before="100" w:beforeAutospacing="1" w:after="100" w:afterAutospacing="1" w:line="240" w:lineRule="auto"/>
    </w:pPr>
    <w:rPr>
      <w:rFonts w:ascii="Times New Roman" w:eastAsia="Times New Roman" w:hAnsi="Times New Roman" w:cs="Times New Roman"/>
      <w:sz w:val="24"/>
      <w:szCs w:val="24"/>
      <w:lang w:eastAsia="es-SV"/>
    </w:rPr>
  </w:style>
  <w:style w:type="character" w:customStyle="1" w:styleId="apple-converted-space">
    <w:name w:val="apple-converted-space"/>
    <w:basedOn w:val="Fuentedeprrafopredeter"/>
    <w:rsid w:val="000D1CFC"/>
  </w:style>
  <w:style w:type="table" w:styleId="Tablaconcuadrcula">
    <w:name w:val="Table Grid"/>
    <w:basedOn w:val="Tablanormal"/>
    <w:uiPriority w:val="59"/>
    <w:rsid w:val="000D1CF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oennegrita">
    <w:name w:val="Strong"/>
    <w:basedOn w:val="Fuentedeprrafopredeter"/>
    <w:uiPriority w:val="22"/>
    <w:qFormat/>
    <w:rsid w:val="000D1CFC"/>
    <w:rPr>
      <w:b/>
      <w:bCs/>
    </w:rPr>
  </w:style>
  <w:style w:type="character" w:styleId="nfasis">
    <w:name w:val="Emphasis"/>
    <w:basedOn w:val="Fuentedeprrafopredeter"/>
    <w:uiPriority w:val="20"/>
    <w:qFormat/>
    <w:rsid w:val="000D1CFC"/>
    <w:rPr>
      <w:i/>
      <w:iCs/>
    </w:rPr>
  </w:style>
  <w:style w:type="character" w:styleId="Hipervnculo">
    <w:name w:val="Hyperlink"/>
    <w:basedOn w:val="Fuentedeprrafopredeter"/>
    <w:uiPriority w:val="99"/>
    <w:semiHidden/>
    <w:unhideWhenUsed/>
    <w:rsid w:val="005140A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667916">
      <w:bodyDiv w:val="1"/>
      <w:marLeft w:val="0"/>
      <w:marRight w:val="0"/>
      <w:marTop w:val="0"/>
      <w:marBottom w:val="0"/>
      <w:divBdr>
        <w:top w:val="none" w:sz="0" w:space="0" w:color="auto"/>
        <w:left w:val="none" w:sz="0" w:space="0" w:color="auto"/>
        <w:bottom w:val="none" w:sz="0" w:space="0" w:color="auto"/>
        <w:right w:val="none" w:sz="0" w:space="0" w:color="auto"/>
      </w:divBdr>
    </w:div>
    <w:div w:id="1319190784">
      <w:bodyDiv w:val="1"/>
      <w:marLeft w:val="0"/>
      <w:marRight w:val="0"/>
      <w:marTop w:val="0"/>
      <w:marBottom w:val="0"/>
      <w:divBdr>
        <w:top w:val="none" w:sz="0" w:space="0" w:color="auto"/>
        <w:left w:val="none" w:sz="0" w:space="0" w:color="auto"/>
        <w:bottom w:val="none" w:sz="0" w:space="0" w:color="auto"/>
        <w:right w:val="none" w:sz="0" w:space="0" w:color="auto"/>
      </w:divBdr>
    </w:div>
    <w:div w:id="1417282237">
      <w:bodyDiv w:val="1"/>
      <w:marLeft w:val="0"/>
      <w:marRight w:val="0"/>
      <w:marTop w:val="0"/>
      <w:marBottom w:val="0"/>
      <w:divBdr>
        <w:top w:val="none" w:sz="0" w:space="0" w:color="auto"/>
        <w:left w:val="none" w:sz="0" w:space="0" w:color="auto"/>
        <w:bottom w:val="none" w:sz="0" w:space="0" w:color="auto"/>
        <w:right w:val="none" w:sz="0" w:space="0" w:color="auto"/>
      </w:divBdr>
    </w:div>
    <w:div w:id="1653828241">
      <w:bodyDiv w:val="1"/>
      <w:marLeft w:val="0"/>
      <w:marRight w:val="0"/>
      <w:marTop w:val="0"/>
      <w:marBottom w:val="0"/>
      <w:divBdr>
        <w:top w:val="none" w:sz="0" w:space="0" w:color="auto"/>
        <w:left w:val="none" w:sz="0" w:space="0" w:color="auto"/>
        <w:bottom w:val="none" w:sz="0" w:space="0" w:color="auto"/>
        <w:right w:val="none" w:sz="0" w:space="0" w:color="auto"/>
      </w:divBdr>
    </w:div>
    <w:div w:id="1660381699">
      <w:bodyDiv w:val="1"/>
      <w:marLeft w:val="0"/>
      <w:marRight w:val="0"/>
      <w:marTop w:val="0"/>
      <w:marBottom w:val="0"/>
      <w:divBdr>
        <w:top w:val="none" w:sz="0" w:space="0" w:color="auto"/>
        <w:left w:val="none" w:sz="0" w:space="0" w:color="auto"/>
        <w:bottom w:val="none" w:sz="0" w:space="0" w:color="auto"/>
        <w:right w:val="none" w:sz="0" w:space="0" w:color="auto"/>
      </w:divBdr>
    </w:div>
    <w:div w:id="211126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rechoshumanos.net/normativa/normas/1966-PactoDerechosCivilesyPoliticos.htm" TargetMode="External"/><Relationship Id="rId13" Type="http://schemas.openxmlformats.org/officeDocument/2006/relationships/hyperlink" Target="http://www.derechoshumanos.net/Convenio-Europeo-de-Derechos-Humanos-CEDH/index.htm" TargetMode="External"/><Relationship Id="rId18" Type="http://schemas.openxmlformats.org/officeDocument/2006/relationships/hyperlink" Target="http://www.derechoshumanos.net/normativa/normas/1966-PactoDerechosCivilesyPoliticos.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derechoshumanos.net/normativa/normas/1966-PactoDerechosCivilesyPoliticos.htm" TargetMode="External"/><Relationship Id="rId7" Type="http://schemas.openxmlformats.org/officeDocument/2006/relationships/hyperlink" Target="http://www.derechoshumanos.net/normativa/normas/1966-PactoDerechosCivilesyPoliticos.htm" TargetMode="External"/><Relationship Id="rId12" Type="http://schemas.openxmlformats.org/officeDocument/2006/relationships/hyperlink" Target="http://www.derechoshumanos.net/Convenio-Europeo-de-Derechos-Humanos-CEDH/index.htm" TargetMode="External"/><Relationship Id="rId17" Type="http://schemas.openxmlformats.org/officeDocument/2006/relationships/hyperlink" Target="http://www.derechoshumanos.net/normativa/normas/1966-PactoDerechosCivilesyPoliticos.htm" TargetMode="External"/><Relationship Id="rId25" Type="http://schemas.openxmlformats.org/officeDocument/2006/relationships/hyperlink" Target="http://www.derechoshumanos.net/normativa/normas/1966-PactoDerechosCivilesyPoliticos.htm" TargetMode="External"/><Relationship Id="rId2" Type="http://schemas.microsoft.com/office/2007/relationships/stylesWithEffects" Target="stylesWithEffects.xml"/><Relationship Id="rId16" Type="http://schemas.openxmlformats.org/officeDocument/2006/relationships/hyperlink" Target="http://www.derechoshumanos.net/normativa/normas/1966-PactoDerechosCivilesyPoliticos.htm" TargetMode="External"/><Relationship Id="rId20" Type="http://schemas.openxmlformats.org/officeDocument/2006/relationships/hyperlink" Target="http://www.derechoshumanos.net/normativa/normas/1966-PactoDerechosCivilesyPoliticos.htm" TargetMode="External"/><Relationship Id="rId1" Type="http://schemas.openxmlformats.org/officeDocument/2006/relationships/styles" Target="styles.xml"/><Relationship Id="rId6" Type="http://schemas.openxmlformats.org/officeDocument/2006/relationships/hyperlink" Target="http://www.derechoshumanos.net/normativa/normas/1966-PactoDerechosCivilesyPoliticos.htm" TargetMode="External"/><Relationship Id="rId11" Type="http://schemas.openxmlformats.org/officeDocument/2006/relationships/hyperlink" Target="http://www.derechoshumanos.net/Convenio-Europeo-de-Derechos-Humanos-CEDH/index.htm" TargetMode="External"/><Relationship Id="rId24" Type="http://schemas.openxmlformats.org/officeDocument/2006/relationships/hyperlink" Target="http://www.derechoshumanos.net/normativa/normas/1966-PactoDerechosCivilesyPoliticos.htm" TargetMode="External"/><Relationship Id="rId5" Type="http://schemas.openxmlformats.org/officeDocument/2006/relationships/hyperlink" Target="http://www.derechoshumanos.net/normativa/normas/1966-PactoDerechosCivilesyPoliticos.htm" TargetMode="External"/><Relationship Id="rId15" Type="http://schemas.openxmlformats.org/officeDocument/2006/relationships/hyperlink" Target="http://www.derechoshumanos.net/normativa/normas/1966-PactoDerechosCivilesyPoliticos.htm" TargetMode="External"/><Relationship Id="rId23" Type="http://schemas.openxmlformats.org/officeDocument/2006/relationships/hyperlink" Target="http://www.derechoshumanos.net/normativa/normas/1966-PactoDerechosCivilesyPoliticos.htm" TargetMode="External"/><Relationship Id="rId10" Type="http://schemas.openxmlformats.org/officeDocument/2006/relationships/hyperlink" Target="http://www.derechoshumanos.net/normativa/normas/1966-PactoDerechosCivilesyPoliticos.htm" TargetMode="External"/><Relationship Id="rId19" Type="http://schemas.openxmlformats.org/officeDocument/2006/relationships/hyperlink" Target="http://www.derechoshumanos.net/normativa/normas/1966-PactoDerechosCivilesyPoliticos.htm" TargetMode="External"/><Relationship Id="rId4" Type="http://schemas.openxmlformats.org/officeDocument/2006/relationships/webSettings" Target="webSettings.xml"/><Relationship Id="rId9" Type="http://schemas.openxmlformats.org/officeDocument/2006/relationships/hyperlink" Target="http://www.derechoshumanos.net/normativa/normas/1966-PactoDerechosCivilesyPoliticos.htm" TargetMode="External"/><Relationship Id="rId14" Type="http://schemas.openxmlformats.org/officeDocument/2006/relationships/hyperlink" Target="http://www.derechoshumanos.net/Convenio-Europeo-de-Derechos-Humanos-CEDH/index.htm" TargetMode="External"/><Relationship Id="rId22" Type="http://schemas.openxmlformats.org/officeDocument/2006/relationships/hyperlink" Target="http://www.derechoshumanos.net/normativa/normas/1966-PactoDerechosCivilesyPoliticos.htm" TargetMode="External"/><Relationship Id="rId27"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11</Pages>
  <Words>2563</Words>
  <Characters>14100</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INGRESE_AQUI</dc:creator>
  <cp:keywords/>
  <dc:description/>
  <cp:lastModifiedBy>Loruhama</cp:lastModifiedBy>
  <cp:revision>14</cp:revision>
  <dcterms:created xsi:type="dcterms:W3CDTF">2015-05-08T17:31:00Z</dcterms:created>
  <dcterms:modified xsi:type="dcterms:W3CDTF">2016-03-08T16:35:00Z</dcterms:modified>
</cp:coreProperties>
</file>