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EB5" w:rsidRDefault="00DC1EB5" w:rsidP="00DC1EB5">
      <w:pPr>
        <w:pStyle w:val="NormalWeb"/>
        <w:shd w:val="clear" w:color="auto" w:fill="FFFFFF"/>
        <w:spacing w:before="90" w:beforeAutospacing="0" w:after="45" w:afterAutospacing="0" w:line="360" w:lineRule="atLeast"/>
        <w:ind w:left="75" w:right="75"/>
        <w:jc w:val="center"/>
        <w:rPr>
          <w:rStyle w:val="Textoennegrita"/>
          <w:rFonts w:ascii="Tahoma" w:hAnsi="Tahoma" w:cs="Tahoma"/>
          <w:color w:val="000000"/>
          <w:sz w:val="18"/>
          <w:szCs w:val="18"/>
        </w:rPr>
      </w:pPr>
      <w:r>
        <w:rPr>
          <w:rStyle w:val="Textoennegrita"/>
          <w:rFonts w:ascii="Tahoma" w:hAnsi="Tahoma" w:cs="Tahoma"/>
          <w:color w:val="000000"/>
          <w:sz w:val="18"/>
          <w:szCs w:val="18"/>
        </w:rPr>
        <w:t xml:space="preserve">B-38 </w:t>
      </w:r>
      <w:bookmarkStart w:id="0" w:name="_GoBack"/>
      <w:r>
        <w:rPr>
          <w:rStyle w:val="Textoennegrita"/>
          <w:rFonts w:ascii="Tahoma" w:hAnsi="Tahoma" w:cs="Tahoma"/>
          <w:color w:val="000000"/>
          <w:sz w:val="18"/>
          <w:szCs w:val="18"/>
        </w:rPr>
        <w:t>CONVENCIÓN INTERAMERICANA SOBRE RÉGIMEN LEGAL DE PODERES PARA SER UTILIZADOS EN EL EXTRANJERO</w:t>
      </w:r>
      <w:bookmarkEnd w:id="0"/>
    </w:p>
    <w:p w:rsidR="00DC1EB5" w:rsidRDefault="00DC1EB5" w:rsidP="00DC1EB5">
      <w:pPr>
        <w:pStyle w:val="NormalWeb"/>
        <w:shd w:val="clear" w:color="auto" w:fill="FFFFFF"/>
        <w:spacing w:before="90" w:beforeAutospacing="0" w:after="45" w:afterAutospacing="0" w:line="360" w:lineRule="atLeast"/>
        <w:ind w:left="75" w:right="75"/>
        <w:jc w:val="center"/>
        <w:rPr>
          <w:rStyle w:val="Textoennegrita"/>
          <w:rFonts w:ascii="Tahoma" w:hAnsi="Tahoma" w:cs="Tahoma"/>
          <w:color w:val="000000"/>
          <w:sz w:val="18"/>
          <w:szCs w:val="18"/>
        </w:rPr>
      </w:pP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noProof w:val="0"/>
          <w:color w:val="000000"/>
          <w:sz w:val="20"/>
          <w:szCs w:val="20"/>
          <w:lang w:eastAsia="es-SV"/>
        </w:rPr>
      </w:pP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noProof w:val="0"/>
          <w:color w:val="000000"/>
          <w:sz w:val="20"/>
          <w:szCs w:val="20"/>
          <w:lang w:eastAsia="es-SV"/>
        </w:rPr>
      </w:pP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b/>
          <w:bCs/>
          <w:noProof w:val="0"/>
          <w:color w:val="000000"/>
          <w:sz w:val="20"/>
          <w:szCs w:val="20"/>
          <w:lang w:eastAsia="es-SV"/>
        </w:rPr>
        <w:t xml:space="preserve">      </w:t>
      </w:r>
      <w:r w:rsidRPr="00DC1EB5">
        <w:rPr>
          <w:rFonts w:ascii="Courier New" w:eastAsia="Times New Roman" w:hAnsi="Courier New" w:cs="Courier New"/>
          <w:noProof w:val="0"/>
          <w:color w:val="000000"/>
          <w:sz w:val="20"/>
          <w:szCs w:val="20"/>
          <w:lang w:eastAsia="es-SV"/>
        </w:rPr>
        <w:t>ADOPTADO EN: PANAMA, PANAMA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            FECHA: 01/30/75</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CONF/ASAM/REUNION: CONFERENCIA ESPECIALIZADA INTERAMERICANA SOBRE DERECHO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                   INTERNACIONAL PRIVADO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 ENTRADA EN VIGOR: 01/16/76  CONFORME AL ARTICULO 16 DE LA CONVENCION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      DEPOSITARIO: SECRETARIA GENERAL OEA (INSTRUMENTO ORIGINAL Y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                   RATIFICACIONES)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                           ,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            TEXTO: SERIE SOBRE TRATADOS, OEA, NO. 45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     REGISTRO ONU: 03/20/89  No. 24385   Vol.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    OBSERVACIONES:      La Convención queda abierta a la firma de los Estados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                   Miembros de la Organización de los Estados Americanos y a la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 xml:space="preserve">                   </w:t>
      </w:r>
      <w:proofErr w:type="gramStart"/>
      <w:r w:rsidRPr="00DC1EB5">
        <w:rPr>
          <w:rFonts w:ascii="Courier New" w:eastAsia="Times New Roman" w:hAnsi="Courier New" w:cs="Courier New"/>
          <w:noProof w:val="0"/>
          <w:color w:val="000000"/>
          <w:sz w:val="20"/>
          <w:szCs w:val="20"/>
          <w:lang w:eastAsia="es-SV"/>
        </w:rPr>
        <w:t>adhesión</w:t>
      </w:r>
      <w:proofErr w:type="gramEnd"/>
      <w:r w:rsidRPr="00DC1EB5">
        <w:rPr>
          <w:rFonts w:ascii="Courier New" w:eastAsia="Times New Roman" w:hAnsi="Courier New" w:cs="Courier New"/>
          <w:noProof w:val="0"/>
          <w:color w:val="000000"/>
          <w:sz w:val="20"/>
          <w:szCs w:val="20"/>
          <w:lang w:eastAsia="es-SV"/>
        </w:rPr>
        <w:t xml:space="preserve"> de cualquier otro Estado.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                INFORMACION GENERAL DEL TRATADO: B-38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PAISES SIGNATARIOS         FECHA   REF RA/AC/AD REF  DEPOSITO INST  INFORMA REF</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roofErr w:type="gramStart"/>
      <w:r w:rsidRPr="00DC1EB5">
        <w:rPr>
          <w:rFonts w:ascii="Courier New" w:eastAsia="Times New Roman" w:hAnsi="Courier New" w:cs="Courier New"/>
          <w:noProof w:val="0"/>
          <w:color w:val="000000"/>
          <w:sz w:val="20"/>
          <w:szCs w:val="20"/>
          <w:lang w:eastAsia="es-SV"/>
        </w:rPr>
        <w:t>Argentina ...........</w:t>
      </w:r>
      <w:proofErr w:type="gramEnd"/>
      <w:r w:rsidRPr="00DC1EB5">
        <w:rPr>
          <w:rFonts w:ascii="Courier New" w:eastAsia="Times New Roman" w:hAnsi="Courier New" w:cs="Courier New"/>
          <w:noProof w:val="0"/>
          <w:color w:val="000000"/>
          <w:sz w:val="20"/>
          <w:szCs w:val="20"/>
          <w:lang w:eastAsia="es-SV"/>
        </w:rPr>
        <w:t>   09/22/82       10/28/82 D  a  12/07/82 RA     /  /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roofErr w:type="gramStart"/>
      <w:r w:rsidRPr="00DC1EB5">
        <w:rPr>
          <w:rFonts w:ascii="Courier New" w:eastAsia="Times New Roman" w:hAnsi="Courier New" w:cs="Courier New"/>
          <w:noProof w:val="0"/>
          <w:color w:val="000000"/>
          <w:sz w:val="20"/>
          <w:szCs w:val="20"/>
          <w:lang w:eastAsia="es-SV"/>
        </w:rPr>
        <w:t>Bolivia .............</w:t>
      </w:r>
      <w:proofErr w:type="gramEnd"/>
      <w:r w:rsidRPr="00DC1EB5">
        <w:rPr>
          <w:rFonts w:ascii="Courier New" w:eastAsia="Times New Roman" w:hAnsi="Courier New" w:cs="Courier New"/>
          <w:noProof w:val="0"/>
          <w:color w:val="000000"/>
          <w:sz w:val="20"/>
          <w:szCs w:val="20"/>
          <w:lang w:eastAsia="es-SV"/>
        </w:rPr>
        <w:t>   08/02/83       04/20/88       01/17/89 RA     /  /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roofErr w:type="gramStart"/>
      <w:r w:rsidRPr="00DC1EB5">
        <w:rPr>
          <w:rFonts w:ascii="Courier New" w:eastAsia="Times New Roman" w:hAnsi="Courier New" w:cs="Courier New"/>
          <w:noProof w:val="0"/>
          <w:color w:val="000000"/>
          <w:sz w:val="20"/>
          <w:szCs w:val="20"/>
          <w:lang w:eastAsia="es-SV"/>
        </w:rPr>
        <w:t>Brasil ..............</w:t>
      </w:r>
      <w:proofErr w:type="gramEnd"/>
      <w:r w:rsidRPr="00DC1EB5">
        <w:rPr>
          <w:rFonts w:ascii="Courier New" w:eastAsia="Times New Roman" w:hAnsi="Courier New" w:cs="Courier New"/>
          <w:noProof w:val="0"/>
          <w:color w:val="000000"/>
          <w:sz w:val="20"/>
          <w:szCs w:val="20"/>
          <w:lang w:eastAsia="es-SV"/>
        </w:rPr>
        <w:t>   01/30/75       03/17/94       05/03/94 RA     /  /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roofErr w:type="gramStart"/>
      <w:r w:rsidRPr="00DC1EB5">
        <w:rPr>
          <w:rFonts w:ascii="Courier New" w:eastAsia="Times New Roman" w:hAnsi="Courier New" w:cs="Courier New"/>
          <w:noProof w:val="0"/>
          <w:color w:val="000000"/>
          <w:sz w:val="20"/>
          <w:szCs w:val="20"/>
          <w:lang w:eastAsia="es-SV"/>
        </w:rPr>
        <w:t>Chile ...............</w:t>
      </w:r>
      <w:proofErr w:type="gramEnd"/>
      <w:r w:rsidRPr="00DC1EB5">
        <w:rPr>
          <w:rFonts w:ascii="Courier New" w:eastAsia="Times New Roman" w:hAnsi="Courier New" w:cs="Courier New"/>
          <w:noProof w:val="0"/>
          <w:color w:val="000000"/>
          <w:sz w:val="20"/>
          <w:szCs w:val="20"/>
          <w:lang w:eastAsia="es-SV"/>
        </w:rPr>
        <w:t>   01/30/75       07/09/76       08/13/76 RA     /  /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roofErr w:type="gramStart"/>
      <w:r w:rsidRPr="00DC1EB5">
        <w:rPr>
          <w:rFonts w:ascii="Courier New" w:eastAsia="Times New Roman" w:hAnsi="Courier New" w:cs="Courier New"/>
          <w:noProof w:val="0"/>
          <w:color w:val="000000"/>
          <w:sz w:val="20"/>
          <w:szCs w:val="20"/>
          <w:lang w:eastAsia="es-SV"/>
        </w:rPr>
        <w:t>Colombia ............</w:t>
      </w:r>
      <w:proofErr w:type="gramEnd"/>
      <w:r w:rsidRPr="00DC1EB5">
        <w:rPr>
          <w:rFonts w:ascii="Courier New" w:eastAsia="Times New Roman" w:hAnsi="Courier New" w:cs="Courier New"/>
          <w:noProof w:val="0"/>
          <w:color w:val="000000"/>
          <w:sz w:val="20"/>
          <w:szCs w:val="20"/>
          <w:lang w:eastAsia="es-SV"/>
        </w:rPr>
        <w:t>   01/30/75         /  /           /  /          /  /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lastRenderedPageBreak/>
        <w:t xml:space="preserve">Costa </w:t>
      </w:r>
      <w:proofErr w:type="gramStart"/>
      <w:r w:rsidRPr="00DC1EB5">
        <w:rPr>
          <w:rFonts w:ascii="Courier New" w:eastAsia="Times New Roman" w:hAnsi="Courier New" w:cs="Courier New"/>
          <w:noProof w:val="0"/>
          <w:color w:val="000000"/>
          <w:sz w:val="20"/>
          <w:szCs w:val="20"/>
          <w:lang w:eastAsia="es-SV"/>
        </w:rPr>
        <w:t>Rica ..........</w:t>
      </w:r>
      <w:proofErr w:type="gramEnd"/>
      <w:r w:rsidRPr="00DC1EB5">
        <w:rPr>
          <w:rFonts w:ascii="Courier New" w:eastAsia="Times New Roman" w:hAnsi="Courier New" w:cs="Courier New"/>
          <w:noProof w:val="0"/>
          <w:color w:val="000000"/>
          <w:sz w:val="20"/>
          <w:szCs w:val="20"/>
          <w:lang w:eastAsia="es-SV"/>
        </w:rPr>
        <w:t>   01/30/75       01/02/78       01/20/78 RA     /  /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roofErr w:type="gramStart"/>
      <w:r w:rsidRPr="00DC1EB5">
        <w:rPr>
          <w:rFonts w:ascii="Courier New" w:eastAsia="Times New Roman" w:hAnsi="Courier New" w:cs="Courier New"/>
          <w:noProof w:val="0"/>
          <w:color w:val="000000"/>
          <w:sz w:val="20"/>
          <w:szCs w:val="20"/>
          <w:lang w:eastAsia="es-SV"/>
        </w:rPr>
        <w:t>Ecuador .............</w:t>
      </w:r>
      <w:proofErr w:type="gramEnd"/>
      <w:r w:rsidRPr="00DC1EB5">
        <w:rPr>
          <w:rFonts w:ascii="Courier New" w:eastAsia="Times New Roman" w:hAnsi="Courier New" w:cs="Courier New"/>
          <w:noProof w:val="0"/>
          <w:color w:val="000000"/>
          <w:sz w:val="20"/>
          <w:szCs w:val="20"/>
          <w:lang w:eastAsia="es-SV"/>
        </w:rPr>
        <w:t>   01/30/75       06/24/75       08/06/75 RA     /  /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 xml:space="preserve">El </w:t>
      </w:r>
      <w:proofErr w:type="gramStart"/>
      <w:r w:rsidRPr="00DC1EB5">
        <w:rPr>
          <w:rFonts w:ascii="Courier New" w:eastAsia="Times New Roman" w:hAnsi="Courier New" w:cs="Courier New"/>
          <w:noProof w:val="0"/>
          <w:color w:val="000000"/>
          <w:sz w:val="20"/>
          <w:szCs w:val="20"/>
          <w:lang w:eastAsia="es-SV"/>
        </w:rPr>
        <w:t>Salvador .........</w:t>
      </w:r>
      <w:proofErr w:type="gramEnd"/>
      <w:r w:rsidRPr="00DC1EB5">
        <w:rPr>
          <w:rFonts w:ascii="Courier New" w:eastAsia="Times New Roman" w:hAnsi="Courier New" w:cs="Courier New"/>
          <w:noProof w:val="0"/>
          <w:color w:val="000000"/>
          <w:sz w:val="20"/>
          <w:szCs w:val="20"/>
          <w:lang w:eastAsia="es-SV"/>
        </w:rPr>
        <w:t>   01/30/75       06/27/80       08/11/80 RA     /  /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roofErr w:type="gramStart"/>
      <w:r w:rsidRPr="00DC1EB5">
        <w:rPr>
          <w:rFonts w:ascii="Courier New" w:eastAsia="Times New Roman" w:hAnsi="Courier New" w:cs="Courier New"/>
          <w:noProof w:val="0"/>
          <w:color w:val="000000"/>
          <w:sz w:val="20"/>
          <w:szCs w:val="20"/>
          <w:lang w:eastAsia="es-SV"/>
        </w:rPr>
        <w:t>Guatemala ...........</w:t>
      </w:r>
      <w:proofErr w:type="gramEnd"/>
      <w:r w:rsidRPr="00DC1EB5">
        <w:rPr>
          <w:rFonts w:ascii="Courier New" w:eastAsia="Times New Roman" w:hAnsi="Courier New" w:cs="Courier New"/>
          <w:noProof w:val="0"/>
          <w:color w:val="000000"/>
          <w:sz w:val="20"/>
          <w:szCs w:val="20"/>
          <w:lang w:eastAsia="es-SV"/>
        </w:rPr>
        <w:t>   01/30/75       11/16/79       01/10/80 RA     /  /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roofErr w:type="gramStart"/>
      <w:r w:rsidRPr="00DC1EB5">
        <w:rPr>
          <w:rFonts w:ascii="Courier New" w:eastAsia="Times New Roman" w:hAnsi="Courier New" w:cs="Courier New"/>
          <w:noProof w:val="0"/>
          <w:color w:val="000000"/>
          <w:sz w:val="20"/>
          <w:szCs w:val="20"/>
          <w:lang w:eastAsia="es-SV"/>
        </w:rPr>
        <w:t>Honduras ............</w:t>
      </w:r>
      <w:proofErr w:type="gramEnd"/>
      <w:r w:rsidRPr="00DC1EB5">
        <w:rPr>
          <w:rFonts w:ascii="Courier New" w:eastAsia="Times New Roman" w:hAnsi="Courier New" w:cs="Courier New"/>
          <w:noProof w:val="0"/>
          <w:color w:val="000000"/>
          <w:sz w:val="20"/>
          <w:szCs w:val="20"/>
          <w:lang w:eastAsia="es-SV"/>
        </w:rPr>
        <w:t>   01/30/75       01/08/79       03/22/79 RA     /  /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roofErr w:type="gramStart"/>
      <w:r w:rsidRPr="00DC1EB5">
        <w:rPr>
          <w:rFonts w:ascii="Courier New" w:eastAsia="Times New Roman" w:hAnsi="Courier New" w:cs="Courier New"/>
          <w:noProof w:val="0"/>
          <w:color w:val="000000"/>
          <w:sz w:val="20"/>
          <w:szCs w:val="20"/>
          <w:lang w:eastAsia="es-SV"/>
        </w:rPr>
        <w:t>México ..............</w:t>
      </w:r>
      <w:proofErr w:type="gramEnd"/>
      <w:r w:rsidRPr="00DC1EB5">
        <w:rPr>
          <w:rFonts w:ascii="Courier New" w:eastAsia="Times New Roman" w:hAnsi="Courier New" w:cs="Courier New"/>
          <w:noProof w:val="0"/>
          <w:color w:val="000000"/>
          <w:sz w:val="20"/>
          <w:szCs w:val="20"/>
          <w:lang w:eastAsia="es-SV"/>
        </w:rPr>
        <w:t>   12/02/86    1  02/11/87 D  b  06/12/87 RA     /  /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roofErr w:type="gramStart"/>
      <w:r w:rsidRPr="00DC1EB5">
        <w:rPr>
          <w:rFonts w:ascii="Courier New" w:eastAsia="Times New Roman" w:hAnsi="Courier New" w:cs="Courier New"/>
          <w:noProof w:val="0"/>
          <w:color w:val="000000"/>
          <w:sz w:val="20"/>
          <w:szCs w:val="20"/>
          <w:lang w:eastAsia="es-SV"/>
        </w:rPr>
        <w:t>Nicaragua ...........</w:t>
      </w:r>
      <w:proofErr w:type="gramEnd"/>
      <w:r w:rsidRPr="00DC1EB5">
        <w:rPr>
          <w:rFonts w:ascii="Courier New" w:eastAsia="Times New Roman" w:hAnsi="Courier New" w:cs="Courier New"/>
          <w:noProof w:val="0"/>
          <w:color w:val="000000"/>
          <w:sz w:val="20"/>
          <w:szCs w:val="20"/>
          <w:lang w:eastAsia="es-SV"/>
        </w:rPr>
        <w:t>   01/30/75         /  /           /  /          /  /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roofErr w:type="gramStart"/>
      <w:r w:rsidRPr="00DC1EB5">
        <w:rPr>
          <w:rFonts w:ascii="Courier New" w:eastAsia="Times New Roman" w:hAnsi="Courier New" w:cs="Courier New"/>
          <w:noProof w:val="0"/>
          <w:color w:val="000000"/>
          <w:sz w:val="20"/>
          <w:szCs w:val="20"/>
          <w:lang w:eastAsia="es-SV"/>
        </w:rPr>
        <w:t>Panamá ..............</w:t>
      </w:r>
      <w:proofErr w:type="gramEnd"/>
      <w:r w:rsidRPr="00DC1EB5">
        <w:rPr>
          <w:rFonts w:ascii="Courier New" w:eastAsia="Times New Roman" w:hAnsi="Courier New" w:cs="Courier New"/>
          <w:noProof w:val="0"/>
          <w:color w:val="000000"/>
          <w:sz w:val="20"/>
          <w:szCs w:val="20"/>
          <w:lang w:eastAsia="es-SV"/>
        </w:rPr>
        <w:t>   01/30/75       11/11/75       12/17/75 RA     /  /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roofErr w:type="gramStart"/>
      <w:r w:rsidRPr="00DC1EB5">
        <w:rPr>
          <w:rFonts w:ascii="Courier New" w:eastAsia="Times New Roman" w:hAnsi="Courier New" w:cs="Courier New"/>
          <w:noProof w:val="0"/>
          <w:color w:val="000000"/>
          <w:sz w:val="20"/>
          <w:szCs w:val="20"/>
          <w:lang w:eastAsia="es-SV"/>
        </w:rPr>
        <w:t>Paraguay ............</w:t>
      </w:r>
      <w:proofErr w:type="gramEnd"/>
      <w:r w:rsidRPr="00DC1EB5">
        <w:rPr>
          <w:rFonts w:ascii="Courier New" w:eastAsia="Times New Roman" w:hAnsi="Courier New" w:cs="Courier New"/>
          <w:noProof w:val="0"/>
          <w:color w:val="000000"/>
          <w:sz w:val="20"/>
          <w:szCs w:val="20"/>
          <w:lang w:eastAsia="es-SV"/>
        </w:rPr>
        <w:t>   08/26/75    1  12/02/76       12/15/76 RA     /  /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roofErr w:type="gramStart"/>
      <w:r w:rsidRPr="00DC1EB5">
        <w:rPr>
          <w:rFonts w:ascii="Courier New" w:eastAsia="Times New Roman" w:hAnsi="Courier New" w:cs="Courier New"/>
          <w:noProof w:val="0"/>
          <w:color w:val="000000"/>
          <w:sz w:val="20"/>
          <w:szCs w:val="20"/>
          <w:lang w:eastAsia="es-SV"/>
        </w:rPr>
        <w:t>Perú ................</w:t>
      </w:r>
      <w:proofErr w:type="gramEnd"/>
      <w:r w:rsidRPr="00DC1EB5">
        <w:rPr>
          <w:rFonts w:ascii="Courier New" w:eastAsia="Times New Roman" w:hAnsi="Courier New" w:cs="Courier New"/>
          <w:noProof w:val="0"/>
          <w:color w:val="000000"/>
          <w:sz w:val="20"/>
          <w:szCs w:val="20"/>
          <w:lang w:eastAsia="es-SV"/>
        </w:rPr>
        <w:t>   01/30/75       07/05/77       08/25/77 RA     /  /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República Dominicana    11/17/76       10/06/77       10/06/77 RA     /  /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roofErr w:type="gramStart"/>
      <w:r w:rsidRPr="00DC1EB5">
        <w:rPr>
          <w:rFonts w:ascii="Courier New" w:eastAsia="Times New Roman" w:hAnsi="Courier New" w:cs="Courier New"/>
          <w:noProof w:val="0"/>
          <w:color w:val="000000"/>
          <w:sz w:val="20"/>
          <w:szCs w:val="20"/>
          <w:lang w:eastAsia="es-SV"/>
        </w:rPr>
        <w:t>Uruguay .............</w:t>
      </w:r>
      <w:proofErr w:type="gramEnd"/>
      <w:r w:rsidRPr="00DC1EB5">
        <w:rPr>
          <w:rFonts w:ascii="Courier New" w:eastAsia="Times New Roman" w:hAnsi="Courier New" w:cs="Courier New"/>
          <w:noProof w:val="0"/>
          <w:color w:val="000000"/>
          <w:sz w:val="20"/>
          <w:szCs w:val="20"/>
          <w:lang w:eastAsia="es-SV"/>
        </w:rPr>
        <w:t>   01/30/75       03/29/77       04/25/77 RA     /  /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roofErr w:type="gramStart"/>
      <w:r w:rsidRPr="00DC1EB5">
        <w:rPr>
          <w:rFonts w:ascii="Courier New" w:eastAsia="Times New Roman" w:hAnsi="Courier New" w:cs="Courier New"/>
          <w:noProof w:val="0"/>
          <w:color w:val="000000"/>
          <w:sz w:val="20"/>
          <w:szCs w:val="20"/>
          <w:lang w:eastAsia="es-SV"/>
        </w:rPr>
        <w:t>Venezuela ...........</w:t>
      </w:r>
      <w:proofErr w:type="gramEnd"/>
      <w:r w:rsidRPr="00DC1EB5">
        <w:rPr>
          <w:rFonts w:ascii="Courier New" w:eastAsia="Times New Roman" w:hAnsi="Courier New" w:cs="Courier New"/>
          <w:noProof w:val="0"/>
          <w:color w:val="000000"/>
          <w:sz w:val="20"/>
          <w:szCs w:val="20"/>
          <w:lang w:eastAsia="es-SV"/>
        </w:rPr>
        <w:t>   01/30/75       11/06/85       12/18/85 RA     /  /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REF = REFERENCIA                                     INST = TIPO DE INSTRUMENTO</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      D = DECLARACION                                       RA = RATIFICACION</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      R = RESERVA                                           AC = ACEPTACION</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INFORMA = INFORMACION REQUERIDA POR EL TRATADO              AD = ADHESION</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noProof w:val="0"/>
          <w:color w:val="000000"/>
          <w:sz w:val="20"/>
          <w:szCs w:val="20"/>
          <w:lang w:eastAsia="es-SV"/>
        </w:rPr>
      </w:pPr>
      <w:r w:rsidRPr="00DC1EB5">
        <w:rPr>
          <w:rFonts w:ascii="Courier New" w:eastAsia="Times New Roman" w:hAnsi="Courier New" w:cs="Courier New"/>
          <w:b/>
          <w:bCs/>
          <w:noProof w:val="0"/>
          <w:color w:val="000000"/>
          <w:sz w:val="20"/>
          <w:szCs w:val="20"/>
          <w:lang w:eastAsia="es-SV"/>
        </w:rPr>
        <w:t>             B-38. CONVENCION INTERAMERICANA SOBRE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noProof w:val="0"/>
          <w:color w:val="000000"/>
          <w:sz w:val="20"/>
          <w:szCs w:val="20"/>
          <w:lang w:eastAsia="es-SV"/>
        </w:rPr>
      </w:pPr>
      <w:r w:rsidRPr="00DC1EB5">
        <w:rPr>
          <w:rFonts w:ascii="Courier New" w:eastAsia="Times New Roman" w:hAnsi="Courier New" w:cs="Courier New"/>
          <w:b/>
          <w:bCs/>
          <w:noProof w:val="0"/>
          <w:color w:val="000000"/>
          <w:sz w:val="20"/>
          <w:szCs w:val="20"/>
          <w:lang w:eastAsia="es-SV"/>
        </w:rPr>
        <w:t>         REGIMEN LEGAL DE PODERES PARA SER UTILIZADOS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noProof w:val="0"/>
          <w:color w:val="000000"/>
          <w:sz w:val="20"/>
          <w:szCs w:val="20"/>
          <w:lang w:eastAsia="es-SV"/>
        </w:rPr>
      </w:pPr>
      <w:r w:rsidRPr="00DC1EB5">
        <w:rPr>
          <w:rFonts w:ascii="Courier New" w:eastAsia="Times New Roman" w:hAnsi="Courier New" w:cs="Courier New"/>
          <w:b/>
          <w:bCs/>
          <w:noProof w:val="0"/>
          <w:color w:val="000000"/>
          <w:sz w:val="20"/>
          <w:szCs w:val="20"/>
          <w:lang w:eastAsia="es-SV"/>
        </w:rPr>
        <w:t>                       EN EL EXTRANJERO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roofErr w:type="gramStart"/>
      <w:r w:rsidRPr="00DC1EB5">
        <w:rPr>
          <w:rFonts w:ascii="Courier New" w:eastAsia="Times New Roman" w:hAnsi="Courier New" w:cs="Courier New"/>
          <w:noProof w:val="0"/>
          <w:color w:val="000000"/>
          <w:sz w:val="20"/>
          <w:szCs w:val="20"/>
          <w:lang w:eastAsia="es-SV"/>
        </w:rPr>
        <w:t>1.México</w:t>
      </w:r>
      <w:proofErr w:type="gramEnd"/>
      <w:r w:rsidRPr="00DC1EB5">
        <w:rPr>
          <w:rFonts w:ascii="Courier New" w:eastAsia="Times New Roman" w:hAnsi="Courier New" w:cs="Courier New"/>
          <w:noProof w:val="0"/>
          <w:color w:val="000000"/>
          <w:sz w:val="20"/>
          <w:szCs w:val="20"/>
          <w:lang w:eastAsia="es-SV"/>
        </w:rPr>
        <w:t>, Paraguay: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Firmaron ad referendum.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lastRenderedPageBreak/>
        <w:t>a.Argentina: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(Declaraciones interpretativas hechas al ratificar la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Convención)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La República Argentina interpreta que también la validez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roofErr w:type="gramStart"/>
      <w:r w:rsidRPr="00DC1EB5">
        <w:rPr>
          <w:rFonts w:ascii="Courier New" w:eastAsia="Times New Roman" w:hAnsi="Courier New" w:cs="Courier New"/>
          <w:noProof w:val="0"/>
          <w:color w:val="000000"/>
          <w:sz w:val="20"/>
          <w:szCs w:val="20"/>
          <w:lang w:eastAsia="es-SV"/>
        </w:rPr>
        <w:t>intrínseca</w:t>
      </w:r>
      <w:proofErr w:type="gramEnd"/>
      <w:r w:rsidRPr="00DC1EB5">
        <w:rPr>
          <w:rFonts w:ascii="Courier New" w:eastAsia="Times New Roman" w:hAnsi="Courier New" w:cs="Courier New"/>
          <w:noProof w:val="0"/>
          <w:color w:val="000000"/>
          <w:sz w:val="20"/>
          <w:szCs w:val="20"/>
          <w:lang w:eastAsia="es-SV"/>
        </w:rPr>
        <w:t xml:space="preserve"> del poder, se sujeta a la ley del Estado donde éste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roofErr w:type="gramStart"/>
      <w:r w:rsidRPr="00DC1EB5">
        <w:rPr>
          <w:rFonts w:ascii="Courier New" w:eastAsia="Times New Roman" w:hAnsi="Courier New" w:cs="Courier New"/>
          <w:noProof w:val="0"/>
          <w:color w:val="000000"/>
          <w:sz w:val="20"/>
          <w:szCs w:val="20"/>
          <w:lang w:eastAsia="es-SV"/>
        </w:rPr>
        <w:t>se</w:t>
      </w:r>
      <w:proofErr w:type="gramEnd"/>
      <w:r w:rsidRPr="00DC1EB5">
        <w:rPr>
          <w:rFonts w:ascii="Courier New" w:eastAsia="Times New Roman" w:hAnsi="Courier New" w:cs="Courier New"/>
          <w:noProof w:val="0"/>
          <w:color w:val="000000"/>
          <w:sz w:val="20"/>
          <w:szCs w:val="20"/>
          <w:lang w:eastAsia="es-SV"/>
        </w:rPr>
        <w:t xml:space="preserve"> ejerce.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La República Argentina interpreta, con relación al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roofErr w:type="gramStart"/>
      <w:r w:rsidRPr="00DC1EB5">
        <w:rPr>
          <w:rFonts w:ascii="Courier New" w:eastAsia="Times New Roman" w:hAnsi="Courier New" w:cs="Courier New"/>
          <w:noProof w:val="0"/>
          <w:color w:val="000000"/>
          <w:sz w:val="20"/>
          <w:szCs w:val="20"/>
          <w:lang w:eastAsia="es-SV"/>
        </w:rPr>
        <w:t>artículo</w:t>
      </w:r>
      <w:proofErr w:type="gramEnd"/>
      <w:r w:rsidRPr="00DC1EB5">
        <w:rPr>
          <w:rFonts w:ascii="Courier New" w:eastAsia="Times New Roman" w:hAnsi="Courier New" w:cs="Courier New"/>
          <w:noProof w:val="0"/>
          <w:color w:val="000000"/>
          <w:sz w:val="20"/>
          <w:szCs w:val="20"/>
          <w:lang w:eastAsia="es-SV"/>
        </w:rPr>
        <w:t xml:space="preserve"> sexto, que la expresión "funcionario que los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roofErr w:type="gramStart"/>
      <w:r w:rsidRPr="00DC1EB5">
        <w:rPr>
          <w:rFonts w:ascii="Courier New" w:eastAsia="Times New Roman" w:hAnsi="Courier New" w:cs="Courier New"/>
          <w:noProof w:val="0"/>
          <w:color w:val="000000"/>
          <w:sz w:val="20"/>
          <w:szCs w:val="20"/>
          <w:lang w:eastAsia="es-SV"/>
        </w:rPr>
        <w:t>legaliza</w:t>
      </w:r>
      <w:proofErr w:type="gramEnd"/>
      <w:r w:rsidRPr="00DC1EB5">
        <w:rPr>
          <w:rFonts w:ascii="Courier New" w:eastAsia="Times New Roman" w:hAnsi="Courier New" w:cs="Courier New"/>
          <w:noProof w:val="0"/>
          <w:color w:val="000000"/>
          <w:sz w:val="20"/>
          <w:szCs w:val="20"/>
          <w:lang w:eastAsia="es-SV"/>
        </w:rPr>
        <w:t>", se refiere a aquel funcionario ante quien pasa o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roofErr w:type="gramStart"/>
      <w:r w:rsidRPr="00DC1EB5">
        <w:rPr>
          <w:rFonts w:ascii="Courier New" w:eastAsia="Times New Roman" w:hAnsi="Courier New" w:cs="Courier New"/>
          <w:noProof w:val="0"/>
          <w:color w:val="000000"/>
          <w:sz w:val="20"/>
          <w:szCs w:val="20"/>
          <w:lang w:eastAsia="es-SV"/>
        </w:rPr>
        <w:t>quien</w:t>
      </w:r>
      <w:proofErr w:type="gramEnd"/>
      <w:r w:rsidRPr="00DC1EB5">
        <w:rPr>
          <w:rFonts w:ascii="Courier New" w:eastAsia="Times New Roman" w:hAnsi="Courier New" w:cs="Courier New"/>
          <w:noProof w:val="0"/>
          <w:color w:val="000000"/>
          <w:sz w:val="20"/>
          <w:szCs w:val="20"/>
          <w:lang w:eastAsia="es-SV"/>
        </w:rPr>
        <w:t xml:space="preserve"> autoriza el documento.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b.México: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(Declaración hecha al ratificar la Convención)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Los Estados Unidos Mexicanos interpretan el Artículo 5 de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roofErr w:type="gramStart"/>
      <w:r w:rsidRPr="00DC1EB5">
        <w:rPr>
          <w:rFonts w:ascii="Courier New" w:eastAsia="Times New Roman" w:hAnsi="Courier New" w:cs="Courier New"/>
          <w:noProof w:val="0"/>
          <w:color w:val="000000"/>
          <w:sz w:val="20"/>
          <w:szCs w:val="20"/>
          <w:lang w:eastAsia="es-SV"/>
        </w:rPr>
        <w:t>esta</w:t>
      </w:r>
      <w:proofErr w:type="gramEnd"/>
      <w:r w:rsidRPr="00DC1EB5">
        <w:rPr>
          <w:rFonts w:ascii="Courier New" w:eastAsia="Times New Roman" w:hAnsi="Courier New" w:cs="Courier New"/>
          <w:noProof w:val="0"/>
          <w:color w:val="000000"/>
          <w:sz w:val="20"/>
          <w:szCs w:val="20"/>
          <w:lang w:eastAsia="es-SV"/>
        </w:rPr>
        <w:t xml:space="preserve"> Convención Interamericana en el sentido de que se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roofErr w:type="gramStart"/>
      <w:r w:rsidRPr="00DC1EB5">
        <w:rPr>
          <w:rFonts w:ascii="Courier New" w:eastAsia="Times New Roman" w:hAnsi="Courier New" w:cs="Courier New"/>
          <w:noProof w:val="0"/>
          <w:color w:val="000000"/>
          <w:sz w:val="20"/>
          <w:szCs w:val="20"/>
          <w:lang w:eastAsia="es-SV"/>
        </w:rPr>
        <w:t>entenderá</w:t>
      </w:r>
      <w:proofErr w:type="gramEnd"/>
      <w:r w:rsidRPr="00DC1EB5">
        <w:rPr>
          <w:rFonts w:ascii="Courier New" w:eastAsia="Times New Roman" w:hAnsi="Courier New" w:cs="Courier New"/>
          <w:noProof w:val="0"/>
          <w:color w:val="000000"/>
          <w:sz w:val="20"/>
          <w:szCs w:val="20"/>
          <w:lang w:eastAsia="es-SV"/>
        </w:rPr>
        <w:t xml:space="preserve"> que el mandato ha sido extendido con toda la amplitud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roofErr w:type="gramStart"/>
      <w:r w:rsidRPr="00DC1EB5">
        <w:rPr>
          <w:rFonts w:ascii="Courier New" w:eastAsia="Times New Roman" w:hAnsi="Courier New" w:cs="Courier New"/>
          <w:noProof w:val="0"/>
          <w:color w:val="000000"/>
          <w:sz w:val="20"/>
          <w:szCs w:val="20"/>
          <w:lang w:eastAsia="es-SV"/>
        </w:rPr>
        <w:t>prevista</w:t>
      </w:r>
      <w:proofErr w:type="gramEnd"/>
      <w:r w:rsidRPr="00DC1EB5">
        <w:rPr>
          <w:rFonts w:ascii="Courier New" w:eastAsia="Times New Roman" w:hAnsi="Courier New" w:cs="Courier New"/>
          <w:noProof w:val="0"/>
          <w:color w:val="000000"/>
          <w:sz w:val="20"/>
          <w:szCs w:val="20"/>
          <w:lang w:eastAsia="es-SV"/>
        </w:rPr>
        <w:t xml:space="preserve"> por el Artículo 4 del Protocolo mencionado en el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r w:rsidRPr="00DC1EB5">
        <w:rPr>
          <w:rFonts w:ascii="Courier New" w:eastAsia="Times New Roman" w:hAnsi="Courier New" w:cs="Courier New"/>
          <w:noProof w:val="0"/>
          <w:color w:val="000000"/>
          <w:sz w:val="20"/>
          <w:szCs w:val="20"/>
          <w:lang w:eastAsia="es-SV"/>
        </w:rPr>
        <w:t>Artículo 10 de la Convención Interamericana sobre Régimen Legal               </w:t>
      </w:r>
    </w:p>
    <w:p w:rsidR="00DC1EB5" w:rsidRPr="00DC1EB5" w:rsidRDefault="00DC1EB5" w:rsidP="00DC1E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noProof w:val="0"/>
          <w:color w:val="000000"/>
          <w:sz w:val="20"/>
          <w:szCs w:val="20"/>
          <w:lang w:eastAsia="es-SV"/>
        </w:rPr>
      </w:pPr>
      <w:proofErr w:type="gramStart"/>
      <w:r w:rsidRPr="00DC1EB5">
        <w:rPr>
          <w:rFonts w:ascii="Courier New" w:eastAsia="Times New Roman" w:hAnsi="Courier New" w:cs="Courier New"/>
          <w:noProof w:val="0"/>
          <w:color w:val="000000"/>
          <w:sz w:val="20"/>
          <w:szCs w:val="20"/>
          <w:lang w:eastAsia="es-SV"/>
        </w:rPr>
        <w:t>de</w:t>
      </w:r>
      <w:proofErr w:type="gramEnd"/>
      <w:r w:rsidRPr="00DC1EB5">
        <w:rPr>
          <w:rFonts w:ascii="Courier New" w:eastAsia="Times New Roman" w:hAnsi="Courier New" w:cs="Courier New"/>
          <w:noProof w:val="0"/>
          <w:color w:val="000000"/>
          <w:sz w:val="20"/>
          <w:szCs w:val="20"/>
          <w:lang w:eastAsia="es-SV"/>
        </w:rPr>
        <w:t xml:space="preserve"> Poderes para ser Utilizados en el Extranjero.               </w:t>
      </w:r>
    </w:p>
    <w:p w:rsidR="00DC1EB5" w:rsidRDefault="00DC1EB5" w:rsidP="00DC1EB5">
      <w:pPr>
        <w:pStyle w:val="NormalWeb"/>
        <w:shd w:val="clear" w:color="auto" w:fill="FFFFFF"/>
        <w:spacing w:before="90" w:beforeAutospacing="0" w:after="45" w:afterAutospacing="0" w:line="360" w:lineRule="atLeast"/>
        <w:ind w:left="75" w:right="75"/>
        <w:jc w:val="center"/>
        <w:rPr>
          <w:color w:val="000000"/>
          <w:sz w:val="27"/>
          <w:szCs w:val="27"/>
        </w:rPr>
      </w:pP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t>Los Gobiernos de los Estados Miembros de la Organización de los Estados Americanos, deseosos de concertar una convención sobre un régimen legal de poderes para ser utilizados en el extranjero, han acordado lo siguiente:</w:t>
      </w:r>
    </w:p>
    <w:p w:rsidR="00DC1EB5" w:rsidRDefault="00DC1EB5" w:rsidP="00DC1EB5">
      <w:pPr>
        <w:pStyle w:val="NormalWeb"/>
        <w:shd w:val="clear" w:color="auto" w:fill="FFFFFF"/>
        <w:spacing w:before="90" w:beforeAutospacing="0" w:after="45" w:afterAutospacing="0" w:line="360" w:lineRule="atLeast"/>
        <w:ind w:left="75" w:right="75"/>
        <w:jc w:val="center"/>
        <w:rPr>
          <w:color w:val="000000"/>
          <w:sz w:val="27"/>
          <w:szCs w:val="27"/>
        </w:rPr>
      </w:pPr>
      <w:r>
        <w:rPr>
          <w:rFonts w:ascii="Tahoma" w:hAnsi="Tahoma" w:cs="Tahoma"/>
          <w:color w:val="000000"/>
          <w:sz w:val="18"/>
          <w:szCs w:val="18"/>
        </w:rPr>
        <w:t>Artículo 1</w:t>
      </w: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lastRenderedPageBreak/>
        <w:t>Los poderes debidamente otorgados en uno de los Estados Partes en esta Convención serán válidos en cualquiera de los otros, si cumplen con las reglas establecidas en la Convención.</w:t>
      </w:r>
    </w:p>
    <w:p w:rsidR="00DC1EB5" w:rsidRDefault="00DC1EB5" w:rsidP="00DC1EB5">
      <w:pPr>
        <w:pStyle w:val="NormalWeb"/>
        <w:shd w:val="clear" w:color="auto" w:fill="FFFFFF"/>
        <w:spacing w:before="90" w:beforeAutospacing="0" w:after="45" w:afterAutospacing="0" w:line="360" w:lineRule="atLeast"/>
        <w:ind w:left="75" w:right="75"/>
        <w:jc w:val="center"/>
        <w:rPr>
          <w:color w:val="000000"/>
          <w:sz w:val="27"/>
          <w:szCs w:val="27"/>
        </w:rPr>
      </w:pPr>
      <w:r>
        <w:rPr>
          <w:rFonts w:ascii="Tahoma" w:hAnsi="Tahoma" w:cs="Tahoma"/>
          <w:color w:val="000000"/>
          <w:sz w:val="18"/>
          <w:szCs w:val="18"/>
        </w:rPr>
        <w:t>Artículo 2</w:t>
      </w: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t xml:space="preserve">Las formalidades y solemnidades relativas al otorgamiento de poderes, que hayan de ser utilizados en el extranjero se sujetarán a las leyes del Estado donde se otorguen, a menos que el otorgante prefiera sujetarse a la ley del Estado en que hayan de ejercerse. En todo caso, si la ley de este </w:t>
      </w:r>
      <w:proofErr w:type="spellStart"/>
      <w:proofErr w:type="gramStart"/>
      <w:r>
        <w:rPr>
          <w:rFonts w:ascii="Tahoma" w:hAnsi="Tahoma" w:cs="Tahoma"/>
          <w:color w:val="000000"/>
          <w:sz w:val="18"/>
          <w:szCs w:val="18"/>
        </w:rPr>
        <w:t>ultimo</w:t>
      </w:r>
      <w:proofErr w:type="spellEnd"/>
      <w:proofErr w:type="gramEnd"/>
      <w:r>
        <w:rPr>
          <w:rFonts w:ascii="Tahoma" w:hAnsi="Tahoma" w:cs="Tahoma"/>
          <w:color w:val="000000"/>
          <w:sz w:val="18"/>
          <w:szCs w:val="18"/>
        </w:rPr>
        <w:t xml:space="preserve"> exigiere solemnidades esenciales para la validez del poder, regirá dicha ley.</w:t>
      </w:r>
    </w:p>
    <w:p w:rsidR="00DC1EB5" w:rsidRDefault="00DC1EB5" w:rsidP="00DC1EB5">
      <w:pPr>
        <w:pStyle w:val="NormalWeb"/>
        <w:shd w:val="clear" w:color="auto" w:fill="FFFFFF"/>
        <w:spacing w:before="90" w:beforeAutospacing="0" w:after="45" w:afterAutospacing="0" w:line="360" w:lineRule="atLeast"/>
        <w:ind w:left="75" w:right="75"/>
        <w:jc w:val="center"/>
        <w:rPr>
          <w:color w:val="000000"/>
          <w:sz w:val="27"/>
          <w:szCs w:val="27"/>
        </w:rPr>
      </w:pPr>
      <w:r>
        <w:rPr>
          <w:rFonts w:ascii="Tahoma" w:hAnsi="Tahoma" w:cs="Tahoma"/>
          <w:color w:val="000000"/>
          <w:sz w:val="18"/>
          <w:szCs w:val="18"/>
        </w:rPr>
        <w:t>Artículo 3</w:t>
      </w: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t xml:space="preserve">Cuando en el Estado en que se otorga el poder es desconocida la solemnidad especial que se requiere conforme a la ley del Estado en que haya de ejercerse, bastará que se cumpla con lo dispuesto en el </w:t>
      </w:r>
      <w:proofErr w:type="spellStart"/>
      <w:proofErr w:type="gramStart"/>
      <w:r>
        <w:rPr>
          <w:rFonts w:ascii="Tahoma" w:hAnsi="Tahoma" w:cs="Tahoma"/>
          <w:color w:val="000000"/>
          <w:sz w:val="18"/>
          <w:szCs w:val="18"/>
        </w:rPr>
        <w:t>articulo</w:t>
      </w:r>
      <w:proofErr w:type="spellEnd"/>
      <w:proofErr w:type="gramEnd"/>
      <w:r>
        <w:rPr>
          <w:rFonts w:ascii="Tahoma" w:hAnsi="Tahoma" w:cs="Tahoma"/>
          <w:color w:val="000000"/>
          <w:sz w:val="18"/>
          <w:szCs w:val="18"/>
        </w:rPr>
        <w:t xml:space="preserve"> 7 de la presente Convención.</w:t>
      </w:r>
    </w:p>
    <w:p w:rsidR="00DC1EB5" w:rsidRDefault="00DC1EB5" w:rsidP="00DC1EB5">
      <w:pPr>
        <w:pStyle w:val="NormalWeb"/>
        <w:shd w:val="clear" w:color="auto" w:fill="FFFFFF"/>
        <w:spacing w:before="90" w:beforeAutospacing="0" w:after="45" w:afterAutospacing="0" w:line="360" w:lineRule="atLeast"/>
        <w:ind w:left="75" w:right="75"/>
        <w:jc w:val="center"/>
        <w:rPr>
          <w:color w:val="000000"/>
          <w:sz w:val="27"/>
          <w:szCs w:val="27"/>
        </w:rPr>
      </w:pPr>
      <w:r>
        <w:rPr>
          <w:rFonts w:ascii="Tahoma" w:hAnsi="Tahoma" w:cs="Tahoma"/>
          <w:color w:val="000000"/>
          <w:sz w:val="18"/>
          <w:szCs w:val="18"/>
        </w:rPr>
        <w:t>Artículo 4</w:t>
      </w: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t>Los requisitos de publicidad del poder se someten a la ley del Estado en que éste se ejerce.</w:t>
      </w:r>
    </w:p>
    <w:p w:rsidR="00DC1EB5" w:rsidRDefault="00DC1EB5" w:rsidP="00DC1EB5">
      <w:pPr>
        <w:pStyle w:val="NormalWeb"/>
        <w:shd w:val="clear" w:color="auto" w:fill="FFFFFF"/>
        <w:spacing w:before="90" w:beforeAutospacing="0" w:after="45" w:afterAutospacing="0" w:line="360" w:lineRule="atLeast"/>
        <w:ind w:left="75" w:right="75"/>
        <w:jc w:val="center"/>
        <w:rPr>
          <w:color w:val="000000"/>
          <w:sz w:val="27"/>
          <w:szCs w:val="27"/>
        </w:rPr>
      </w:pPr>
      <w:r>
        <w:rPr>
          <w:rFonts w:ascii="Tahoma" w:hAnsi="Tahoma" w:cs="Tahoma"/>
          <w:color w:val="000000"/>
          <w:sz w:val="18"/>
          <w:szCs w:val="18"/>
        </w:rPr>
        <w:t>Artículo 5</w:t>
      </w: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t>Los efectos y el ejercicio del poder se sujetan a la ley del Estado donde éste se ejerce.</w:t>
      </w:r>
    </w:p>
    <w:p w:rsidR="00DC1EB5" w:rsidRDefault="00DC1EB5" w:rsidP="00DC1EB5">
      <w:pPr>
        <w:pStyle w:val="NormalWeb"/>
        <w:shd w:val="clear" w:color="auto" w:fill="FFFFFF"/>
        <w:spacing w:before="90" w:beforeAutospacing="0" w:after="45" w:afterAutospacing="0" w:line="360" w:lineRule="atLeast"/>
        <w:ind w:left="75" w:right="75"/>
        <w:jc w:val="center"/>
        <w:rPr>
          <w:color w:val="000000"/>
          <w:sz w:val="27"/>
          <w:szCs w:val="27"/>
        </w:rPr>
      </w:pPr>
      <w:r>
        <w:rPr>
          <w:rFonts w:ascii="Tahoma" w:hAnsi="Tahoma" w:cs="Tahoma"/>
          <w:color w:val="000000"/>
          <w:sz w:val="18"/>
          <w:szCs w:val="18"/>
        </w:rPr>
        <w:t>Artículo 6</w:t>
      </w: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t>En todos los poderes el funcionario que los legaliza deberá certificar o dar fe si tuviere facultades para ello, sobre lo siguiente:</w:t>
      </w: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t>a. La identidad del otorgante, así como la declaración del mismo acerca de su nacionalidad, edad, domicilio y estado civil;</w:t>
      </w: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t>b. El derecho que el otorgante tuviere para conferir poder en representación de otra persona física o</w:t>
      </w: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t>c. La existencia legal de la persona moral o jurídica en cuyo nombre se otorgare el poder;</w:t>
      </w: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t>d. La representación de la persona moral o jurídica,</w:t>
      </w:r>
      <w:r>
        <w:rPr>
          <w:rStyle w:val="apple-converted-space"/>
          <w:rFonts w:ascii="Tahoma" w:hAnsi="Tahoma" w:cs="Tahoma"/>
          <w:color w:val="000000"/>
          <w:sz w:val="18"/>
          <w:szCs w:val="18"/>
        </w:rPr>
        <w:t> </w:t>
      </w:r>
      <w:r>
        <w:rPr>
          <w:rFonts w:ascii="Tahoma" w:hAnsi="Tahoma" w:cs="Tahoma"/>
          <w:i/>
          <w:iCs/>
          <w:color w:val="000000"/>
          <w:sz w:val="18"/>
          <w:szCs w:val="18"/>
        </w:rPr>
        <w:t>as</w:t>
      </w:r>
      <w:proofErr w:type="gramStart"/>
      <w:r>
        <w:rPr>
          <w:rFonts w:ascii="Tahoma" w:hAnsi="Tahoma" w:cs="Tahoma"/>
          <w:i/>
          <w:iCs/>
          <w:color w:val="000000"/>
          <w:sz w:val="18"/>
          <w:szCs w:val="18"/>
        </w:rPr>
        <w:t>!</w:t>
      </w:r>
      <w:proofErr w:type="gramEnd"/>
      <w:r>
        <w:rPr>
          <w:rStyle w:val="apple-converted-space"/>
          <w:rFonts w:ascii="Tahoma" w:hAnsi="Tahoma" w:cs="Tahoma"/>
          <w:color w:val="000000"/>
          <w:sz w:val="18"/>
          <w:szCs w:val="18"/>
        </w:rPr>
        <w:t> </w:t>
      </w:r>
      <w:r>
        <w:rPr>
          <w:rFonts w:ascii="Tahoma" w:hAnsi="Tahoma" w:cs="Tahoma"/>
          <w:color w:val="000000"/>
          <w:sz w:val="18"/>
          <w:szCs w:val="18"/>
        </w:rPr>
        <w:t xml:space="preserve">como el </w:t>
      </w:r>
      <w:proofErr w:type="spellStart"/>
      <w:r>
        <w:rPr>
          <w:rFonts w:ascii="Tahoma" w:hAnsi="Tahoma" w:cs="Tahoma"/>
          <w:color w:val="000000"/>
          <w:sz w:val="18"/>
          <w:szCs w:val="18"/>
        </w:rPr>
        <w:t>derechi</w:t>
      </w:r>
      <w:proofErr w:type="spellEnd"/>
      <w:r>
        <w:rPr>
          <w:rFonts w:ascii="Tahoma" w:hAnsi="Tahoma" w:cs="Tahoma"/>
          <w:color w:val="000000"/>
          <w:sz w:val="18"/>
          <w:szCs w:val="18"/>
        </w:rPr>
        <w:t xml:space="preserve"> que tuviere el otorgante para conferir el poder.</w:t>
      </w:r>
    </w:p>
    <w:p w:rsidR="00DC1EB5" w:rsidRDefault="00DC1EB5" w:rsidP="00DC1EB5">
      <w:pPr>
        <w:pStyle w:val="NormalWeb"/>
        <w:shd w:val="clear" w:color="auto" w:fill="FFFFFF"/>
        <w:spacing w:before="90" w:beforeAutospacing="0" w:after="45" w:afterAutospacing="0" w:line="360" w:lineRule="atLeast"/>
        <w:ind w:left="75" w:right="75"/>
        <w:jc w:val="center"/>
        <w:rPr>
          <w:color w:val="000000"/>
          <w:sz w:val="27"/>
          <w:szCs w:val="27"/>
        </w:rPr>
      </w:pPr>
      <w:r>
        <w:rPr>
          <w:rFonts w:ascii="Tahoma" w:hAnsi="Tahoma" w:cs="Tahoma"/>
          <w:color w:val="000000"/>
          <w:sz w:val="18"/>
          <w:szCs w:val="18"/>
        </w:rPr>
        <w:t>Articulo 7</w:t>
      </w: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t>Si en el Estado del otorgamiento no existiere funcionario autorizado para certificar o dar fe sobre los puntos señalados en el artículo 6, deberán observarse las siguientes formalidades:</w:t>
      </w: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t>a. El poder contendrá una declaración jurada o aseveración del otorgante de decir verdad sobre lo dispuesto en la letra a) del artículo 6;</w:t>
      </w: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t>b. Se agregarán al poder copias certificadas u otras pruebas con respecto a los puntos señalados en las letras b), c) y d) del mismo artículo;</w:t>
      </w: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lastRenderedPageBreak/>
        <w:t>c. La firma del otorgante deberá ser autenticada;</w:t>
      </w: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t>d. Los demás requisitos establecidos por la ley del otorgamiento.</w:t>
      </w:r>
    </w:p>
    <w:p w:rsidR="00DC1EB5" w:rsidRDefault="00DC1EB5" w:rsidP="00DC1EB5">
      <w:pPr>
        <w:pStyle w:val="NormalWeb"/>
        <w:shd w:val="clear" w:color="auto" w:fill="FFFFFF"/>
        <w:spacing w:before="90" w:beforeAutospacing="0" w:after="45" w:afterAutospacing="0" w:line="360" w:lineRule="atLeast"/>
        <w:ind w:left="75" w:right="75"/>
        <w:jc w:val="center"/>
        <w:rPr>
          <w:color w:val="000000"/>
          <w:sz w:val="27"/>
          <w:szCs w:val="27"/>
        </w:rPr>
      </w:pPr>
      <w:r>
        <w:rPr>
          <w:rFonts w:ascii="Tahoma" w:hAnsi="Tahoma" w:cs="Tahoma"/>
          <w:color w:val="000000"/>
          <w:sz w:val="18"/>
          <w:szCs w:val="18"/>
        </w:rPr>
        <w:t>Artículo 8</w:t>
      </w: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t>Los poderes deberán ser legalizados cuando así lo exigiere la ley del lugar de su ejercicio.</w:t>
      </w:r>
    </w:p>
    <w:p w:rsidR="00DC1EB5" w:rsidRDefault="00DC1EB5" w:rsidP="00DC1EB5">
      <w:pPr>
        <w:pStyle w:val="NormalWeb"/>
        <w:shd w:val="clear" w:color="auto" w:fill="FFFFFF"/>
        <w:spacing w:before="90" w:beforeAutospacing="0" w:after="45" w:afterAutospacing="0" w:line="360" w:lineRule="atLeast"/>
        <w:ind w:left="75" w:right="75"/>
        <w:jc w:val="center"/>
        <w:rPr>
          <w:color w:val="000000"/>
          <w:sz w:val="27"/>
          <w:szCs w:val="27"/>
        </w:rPr>
      </w:pPr>
      <w:r>
        <w:rPr>
          <w:rFonts w:ascii="Tahoma" w:hAnsi="Tahoma" w:cs="Tahoma"/>
          <w:color w:val="000000"/>
          <w:sz w:val="18"/>
          <w:szCs w:val="18"/>
        </w:rPr>
        <w:t>Artículo 9</w:t>
      </w: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t>Se traducirán al idioma oficial del Estado de su ejercicio los poderes otorgados en idioma distinto.</w:t>
      </w:r>
    </w:p>
    <w:p w:rsidR="00DC1EB5" w:rsidRDefault="00DC1EB5" w:rsidP="00DC1EB5">
      <w:pPr>
        <w:pStyle w:val="NormalWeb"/>
        <w:shd w:val="clear" w:color="auto" w:fill="FFFFFF"/>
        <w:spacing w:before="90" w:beforeAutospacing="0" w:after="45" w:afterAutospacing="0" w:line="360" w:lineRule="atLeast"/>
        <w:ind w:left="75" w:right="75"/>
        <w:jc w:val="center"/>
        <w:rPr>
          <w:color w:val="000000"/>
          <w:sz w:val="27"/>
          <w:szCs w:val="27"/>
        </w:rPr>
      </w:pPr>
      <w:r>
        <w:rPr>
          <w:rFonts w:ascii="Tahoma" w:hAnsi="Tahoma" w:cs="Tahoma"/>
          <w:color w:val="000000"/>
          <w:sz w:val="18"/>
          <w:szCs w:val="18"/>
        </w:rPr>
        <w:t>Artículo 10</w:t>
      </w: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t>Esta Convención no restringirá las disposiciones de convenciones que en materia de poderes hubieran sido suscritas o se suscribieren en el futuro en forma bilateral o multilateral por los Estados Partes; en particular el Protocolo sobre Uniformidad del Régimen Legal de los Poderes o Protocolo de Washington de 1940, o las prácticas más favorables que los Estados Partes pudieran observar en la materia.</w:t>
      </w:r>
    </w:p>
    <w:p w:rsidR="00DC1EB5" w:rsidRDefault="00DC1EB5" w:rsidP="00DC1EB5">
      <w:pPr>
        <w:pStyle w:val="NormalWeb"/>
        <w:shd w:val="clear" w:color="auto" w:fill="FFFFFF"/>
        <w:spacing w:before="90" w:beforeAutospacing="0" w:after="45" w:afterAutospacing="0" w:line="360" w:lineRule="atLeast"/>
        <w:ind w:left="75" w:right="75"/>
        <w:jc w:val="center"/>
        <w:rPr>
          <w:color w:val="000000"/>
          <w:sz w:val="27"/>
          <w:szCs w:val="27"/>
        </w:rPr>
      </w:pPr>
      <w:r>
        <w:rPr>
          <w:rFonts w:ascii="Tahoma" w:hAnsi="Tahoma" w:cs="Tahoma"/>
          <w:color w:val="000000"/>
          <w:sz w:val="18"/>
          <w:szCs w:val="18"/>
        </w:rPr>
        <w:t>Artículo 11</w:t>
      </w: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t>No es necesario para la eficacia del poder que el apoderado manifieste en dicho acto su aceptación. Esta resultará de su ejercicio.</w:t>
      </w:r>
    </w:p>
    <w:p w:rsidR="00DC1EB5" w:rsidRDefault="00DC1EB5" w:rsidP="00DC1EB5">
      <w:pPr>
        <w:pStyle w:val="NormalWeb"/>
        <w:shd w:val="clear" w:color="auto" w:fill="FFFFFF"/>
        <w:spacing w:before="90" w:beforeAutospacing="0" w:after="45" w:afterAutospacing="0" w:line="360" w:lineRule="atLeast"/>
        <w:ind w:left="75" w:right="75"/>
        <w:jc w:val="center"/>
        <w:rPr>
          <w:color w:val="000000"/>
          <w:sz w:val="27"/>
          <w:szCs w:val="27"/>
        </w:rPr>
      </w:pPr>
      <w:r>
        <w:rPr>
          <w:rFonts w:ascii="Tahoma" w:hAnsi="Tahoma" w:cs="Tahoma"/>
          <w:color w:val="000000"/>
          <w:sz w:val="18"/>
          <w:szCs w:val="18"/>
        </w:rPr>
        <w:t>Artículo 12</w:t>
      </w: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t>El Estado requerido podrá rehusar el cumplimiento de un poder cuando éste sea manifiestamente contrario a su orden público.</w:t>
      </w:r>
    </w:p>
    <w:p w:rsidR="00DC1EB5" w:rsidRDefault="00DC1EB5" w:rsidP="00DC1EB5">
      <w:pPr>
        <w:pStyle w:val="NormalWeb"/>
        <w:shd w:val="clear" w:color="auto" w:fill="FFFFFF"/>
        <w:spacing w:before="90" w:beforeAutospacing="0" w:after="45" w:afterAutospacing="0" w:line="360" w:lineRule="atLeast"/>
        <w:ind w:left="75" w:right="75"/>
        <w:jc w:val="center"/>
        <w:rPr>
          <w:color w:val="000000"/>
          <w:sz w:val="27"/>
          <w:szCs w:val="27"/>
        </w:rPr>
      </w:pPr>
      <w:r>
        <w:rPr>
          <w:rFonts w:ascii="Tahoma" w:hAnsi="Tahoma" w:cs="Tahoma"/>
          <w:color w:val="000000"/>
          <w:sz w:val="18"/>
          <w:szCs w:val="18"/>
        </w:rPr>
        <w:t>Artículo 13</w:t>
      </w: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t>La presente Convención estará abierta a la firma de los Estados Miembros de la Organización de los Estados Americanos.</w:t>
      </w:r>
    </w:p>
    <w:p w:rsidR="00DC1EB5" w:rsidRDefault="00DC1EB5" w:rsidP="00DC1EB5">
      <w:pPr>
        <w:pStyle w:val="NormalWeb"/>
        <w:shd w:val="clear" w:color="auto" w:fill="FFFFFF"/>
        <w:spacing w:before="90" w:beforeAutospacing="0" w:after="45" w:afterAutospacing="0" w:line="360" w:lineRule="atLeast"/>
        <w:ind w:left="75" w:right="75"/>
        <w:jc w:val="center"/>
        <w:rPr>
          <w:color w:val="000000"/>
          <w:sz w:val="27"/>
          <w:szCs w:val="27"/>
        </w:rPr>
      </w:pPr>
      <w:r>
        <w:rPr>
          <w:rFonts w:ascii="Tahoma" w:hAnsi="Tahoma" w:cs="Tahoma"/>
          <w:color w:val="000000"/>
          <w:sz w:val="18"/>
          <w:szCs w:val="18"/>
        </w:rPr>
        <w:t>Artículo 14</w:t>
      </w: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t>La presente Convención está sujeta a ratificación. Los instrumentos de ratificación se depositarán en la Secretaría General de la Organización de los Estados Americanos.</w:t>
      </w:r>
    </w:p>
    <w:p w:rsidR="00DC1EB5" w:rsidRDefault="00DC1EB5" w:rsidP="00DC1EB5">
      <w:pPr>
        <w:pStyle w:val="NormalWeb"/>
        <w:shd w:val="clear" w:color="auto" w:fill="FFFFFF"/>
        <w:spacing w:before="90" w:beforeAutospacing="0" w:after="45" w:afterAutospacing="0" w:line="360" w:lineRule="atLeast"/>
        <w:ind w:left="75" w:right="75"/>
        <w:jc w:val="center"/>
        <w:rPr>
          <w:color w:val="000000"/>
          <w:sz w:val="27"/>
          <w:szCs w:val="27"/>
        </w:rPr>
      </w:pPr>
      <w:r>
        <w:rPr>
          <w:rFonts w:ascii="Tahoma" w:hAnsi="Tahoma" w:cs="Tahoma"/>
          <w:color w:val="000000"/>
          <w:sz w:val="18"/>
          <w:szCs w:val="18"/>
        </w:rPr>
        <w:t>Artículo 15</w:t>
      </w: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t>La presente Convención quedará abierta a la adhesión de cualquier otro Estado. Los instrumentos de adhesión se depositarán en la Secretaría General de la Organización de los Estados Americanos.</w:t>
      </w:r>
    </w:p>
    <w:p w:rsidR="00DC1EB5" w:rsidRDefault="00DC1EB5" w:rsidP="00DC1EB5">
      <w:pPr>
        <w:pStyle w:val="NormalWeb"/>
        <w:shd w:val="clear" w:color="auto" w:fill="FFFFFF"/>
        <w:spacing w:before="90" w:beforeAutospacing="0" w:after="45" w:afterAutospacing="0" w:line="360" w:lineRule="atLeast"/>
        <w:ind w:left="75" w:right="75"/>
        <w:jc w:val="center"/>
        <w:rPr>
          <w:color w:val="000000"/>
          <w:sz w:val="27"/>
          <w:szCs w:val="27"/>
        </w:rPr>
      </w:pPr>
      <w:r>
        <w:rPr>
          <w:rFonts w:ascii="Tahoma" w:hAnsi="Tahoma" w:cs="Tahoma"/>
          <w:color w:val="000000"/>
          <w:sz w:val="18"/>
          <w:szCs w:val="18"/>
        </w:rPr>
        <w:t>Artículo 16</w:t>
      </w: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t>La presente Convención entrará en vigor el trigésimo día a partir de la fecha en que haya sido depositado el segundo instrumento de ratificación.</w:t>
      </w: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lastRenderedPageBreak/>
        <w:t>Para cada Estado que ratifique la Convención o se adhiera a ella después de haber sido depositado el segundo instrumento de ratificación, la Convención entrará en vigor el trigésimo día a partir de la fecha en que tal Estado haya depositado su instrumento de ratificación o adhesión.</w:t>
      </w:r>
    </w:p>
    <w:p w:rsidR="00DC1EB5" w:rsidRDefault="00DC1EB5" w:rsidP="00DC1EB5">
      <w:pPr>
        <w:pStyle w:val="NormalWeb"/>
        <w:shd w:val="clear" w:color="auto" w:fill="FFFFFF"/>
        <w:spacing w:before="90" w:beforeAutospacing="0" w:after="45" w:afterAutospacing="0" w:line="360" w:lineRule="atLeast"/>
        <w:ind w:left="75" w:right="75"/>
        <w:jc w:val="center"/>
        <w:rPr>
          <w:color w:val="000000"/>
          <w:sz w:val="27"/>
          <w:szCs w:val="27"/>
        </w:rPr>
      </w:pPr>
      <w:r>
        <w:rPr>
          <w:rFonts w:ascii="Tahoma" w:hAnsi="Tahoma" w:cs="Tahoma"/>
          <w:color w:val="000000"/>
          <w:sz w:val="18"/>
          <w:szCs w:val="18"/>
        </w:rPr>
        <w:t>Artículo 17</w:t>
      </w: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t>Los Estados Partes que tengan dos o más unidades territoriales en las que rijan distintos sistemas jurídicos relacionados con cuestiones tratadas en la presente Convención, podrán declarar, en el momento de la firma, ratificación o adhesión, que la Convención se aplicará a todas sus unidades territoriales o solamente a una o más de ellas.</w:t>
      </w: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t>Tales declaraciones podrán ser modificadas mediante declaraciones ulteriores, que especificarán expresamente la o las unidades territoriales a las que se aplicará la presente Convención. Dichas declaraciones ulteriores se transmitirán a la Secretaría General de la Organización de los Estados Americanos y surtirán efecto treinta días después de recibidas.</w:t>
      </w:r>
    </w:p>
    <w:p w:rsidR="00DC1EB5" w:rsidRDefault="00DC1EB5" w:rsidP="00DC1EB5">
      <w:pPr>
        <w:pStyle w:val="NormalWeb"/>
        <w:shd w:val="clear" w:color="auto" w:fill="FFFFFF"/>
        <w:spacing w:before="90" w:beforeAutospacing="0" w:after="45" w:afterAutospacing="0" w:line="360" w:lineRule="atLeast"/>
        <w:ind w:left="75" w:right="75"/>
        <w:jc w:val="center"/>
        <w:rPr>
          <w:color w:val="000000"/>
          <w:sz w:val="27"/>
          <w:szCs w:val="27"/>
        </w:rPr>
      </w:pPr>
      <w:r>
        <w:rPr>
          <w:rFonts w:ascii="Tahoma" w:hAnsi="Tahoma" w:cs="Tahoma"/>
          <w:color w:val="000000"/>
          <w:sz w:val="18"/>
          <w:szCs w:val="18"/>
        </w:rPr>
        <w:t>Artículo 18</w:t>
      </w: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t xml:space="preserve">La presente Convención regirá indefinidamente, pero cualquiera de los Estados Partes podrá denunciarla. El instrumento de denuncia será depositado en la Secretaría General de la Organización de los Estados Americanos. Transcurrido un </w:t>
      </w:r>
      <w:proofErr w:type="spellStart"/>
      <w:r>
        <w:rPr>
          <w:rFonts w:ascii="Tahoma" w:hAnsi="Tahoma" w:cs="Tahoma"/>
          <w:color w:val="000000"/>
          <w:sz w:val="18"/>
          <w:szCs w:val="18"/>
        </w:rPr>
        <w:t>ano</w:t>
      </w:r>
      <w:proofErr w:type="spellEnd"/>
      <w:r>
        <w:rPr>
          <w:rFonts w:ascii="Tahoma" w:hAnsi="Tahoma" w:cs="Tahoma"/>
          <w:color w:val="000000"/>
          <w:sz w:val="18"/>
          <w:szCs w:val="18"/>
        </w:rPr>
        <w:t>, contado a partir de la fecha de depósito del instrumento de denuncia, la Convención cesará en sus efectos para el Estado denunciante, quedando subsistente para los demás Estados Partes.</w:t>
      </w:r>
    </w:p>
    <w:p w:rsidR="00DC1EB5" w:rsidRDefault="00DC1EB5" w:rsidP="00DC1EB5">
      <w:pPr>
        <w:pStyle w:val="NormalWeb"/>
        <w:shd w:val="clear" w:color="auto" w:fill="FFFFFF"/>
        <w:spacing w:before="90" w:beforeAutospacing="0" w:after="45" w:afterAutospacing="0" w:line="360" w:lineRule="atLeast"/>
        <w:ind w:left="75" w:right="75"/>
        <w:jc w:val="center"/>
        <w:rPr>
          <w:color w:val="000000"/>
          <w:sz w:val="27"/>
          <w:szCs w:val="27"/>
        </w:rPr>
      </w:pPr>
      <w:r>
        <w:rPr>
          <w:rFonts w:ascii="Tahoma" w:hAnsi="Tahoma" w:cs="Tahoma"/>
          <w:color w:val="000000"/>
          <w:sz w:val="18"/>
          <w:szCs w:val="18"/>
        </w:rPr>
        <w:t>Artículo 19</w:t>
      </w: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t>El instrumento original de la presente Convención, cuyos textos en español, francés, inglés y portugués son igualmente auténticos, será depositado en la Secretaría General de la Organización de los Estados Americanos. Dicha Secretaría notificará a los Estados Miembros de la Organización de los Estados Americanos y a los Estados que se hayan adherido a la Convención, las firmas, los depósitos de instrumentos de ratificación, adhesión y denuncia, así como las reservas que hubiere. También les transmitirá las declaraciones previstas en el artículo 17 de la presente Convención.</w:t>
      </w: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t>EN FE DE LO CUAL, los plenipotenciarios infrascritos, debidamente autorizados por sus respectivos Gobiernos, firman la presente Convención.</w:t>
      </w:r>
    </w:p>
    <w:p w:rsidR="00DC1EB5" w:rsidRDefault="00DC1EB5" w:rsidP="00DC1EB5">
      <w:pPr>
        <w:pStyle w:val="NormalWeb"/>
        <w:shd w:val="clear" w:color="auto" w:fill="FFFFFF"/>
        <w:spacing w:before="90" w:beforeAutospacing="0" w:after="45" w:afterAutospacing="0" w:line="360" w:lineRule="atLeast"/>
        <w:ind w:left="75" w:right="75"/>
        <w:rPr>
          <w:color w:val="000000"/>
          <w:sz w:val="27"/>
          <w:szCs w:val="27"/>
        </w:rPr>
      </w:pPr>
      <w:r>
        <w:rPr>
          <w:rFonts w:ascii="Tahoma" w:hAnsi="Tahoma" w:cs="Tahoma"/>
          <w:color w:val="000000"/>
          <w:sz w:val="18"/>
          <w:szCs w:val="18"/>
        </w:rPr>
        <w:t xml:space="preserve">HECHA EN LA CIUDAD DE PANAMÁ, República de Panamá, el </w:t>
      </w:r>
      <w:proofErr w:type="spellStart"/>
      <w:r>
        <w:rPr>
          <w:rFonts w:ascii="Tahoma" w:hAnsi="Tahoma" w:cs="Tahoma"/>
          <w:color w:val="000000"/>
          <w:sz w:val="18"/>
          <w:szCs w:val="18"/>
        </w:rPr>
        <w:t>dfa</w:t>
      </w:r>
      <w:proofErr w:type="spellEnd"/>
      <w:r>
        <w:rPr>
          <w:rFonts w:ascii="Tahoma" w:hAnsi="Tahoma" w:cs="Tahoma"/>
          <w:color w:val="000000"/>
          <w:sz w:val="18"/>
          <w:szCs w:val="18"/>
        </w:rPr>
        <w:t xml:space="preserve"> treinta de enero de mil novecientos setenta y cinco.</w:t>
      </w:r>
    </w:p>
    <w:p w:rsidR="00AF48F0" w:rsidRDefault="00AF48F0"/>
    <w:sectPr w:rsidR="00AF48F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EB5"/>
    <w:rsid w:val="001D73D6"/>
    <w:rsid w:val="00330A11"/>
    <w:rsid w:val="0043739F"/>
    <w:rsid w:val="0066730E"/>
    <w:rsid w:val="008522AA"/>
    <w:rsid w:val="00AF48F0"/>
    <w:rsid w:val="00C3315D"/>
    <w:rsid w:val="00DC1EB5"/>
    <w:rsid w:val="00DD7745"/>
    <w:rsid w:val="00EE4E39"/>
    <w:rsid w:val="00F27B0E"/>
    <w:rsid w:val="00F64230"/>
    <w:rsid w:val="00FB7671"/>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DC1EB5"/>
    <w:pPr>
      <w:spacing w:before="100" w:beforeAutospacing="1" w:after="100" w:afterAutospacing="1" w:line="240" w:lineRule="auto"/>
    </w:pPr>
    <w:rPr>
      <w:rFonts w:ascii="Times New Roman" w:eastAsia="Times New Roman" w:hAnsi="Times New Roman" w:cs="Times New Roman"/>
      <w:noProof w:val="0"/>
      <w:sz w:val="24"/>
      <w:szCs w:val="24"/>
      <w:lang w:eastAsia="es-SV"/>
    </w:rPr>
  </w:style>
  <w:style w:type="character" w:styleId="Textoennegrita">
    <w:name w:val="Strong"/>
    <w:basedOn w:val="Fuentedeprrafopredeter"/>
    <w:uiPriority w:val="22"/>
    <w:qFormat/>
    <w:rsid w:val="00DC1EB5"/>
    <w:rPr>
      <w:b/>
      <w:bCs/>
    </w:rPr>
  </w:style>
  <w:style w:type="character" w:customStyle="1" w:styleId="apple-converted-space">
    <w:name w:val="apple-converted-space"/>
    <w:basedOn w:val="Fuentedeprrafopredeter"/>
    <w:rsid w:val="00DC1EB5"/>
  </w:style>
  <w:style w:type="paragraph" w:styleId="HTMLconformatoprevio">
    <w:name w:val="HTML Preformatted"/>
    <w:basedOn w:val="Normal"/>
    <w:link w:val="HTMLconformatoprevioCar"/>
    <w:uiPriority w:val="99"/>
    <w:semiHidden/>
    <w:unhideWhenUsed/>
    <w:rsid w:val="00DC1E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noProof w:val="0"/>
      <w:sz w:val="20"/>
      <w:szCs w:val="20"/>
      <w:lang w:eastAsia="es-SV"/>
    </w:rPr>
  </w:style>
  <w:style w:type="character" w:customStyle="1" w:styleId="HTMLconformatoprevioCar">
    <w:name w:val="HTML con formato previo Car"/>
    <w:basedOn w:val="Fuentedeprrafopredeter"/>
    <w:link w:val="HTMLconformatoprevio"/>
    <w:uiPriority w:val="99"/>
    <w:semiHidden/>
    <w:rsid w:val="00DC1EB5"/>
    <w:rPr>
      <w:rFonts w:ascii="Courier New" w:eastAsia="Times New Roman" w:hAnsi="Courier New" w:cs="Courier New"/>
      <w:sz w:val="20"/>
      <w:szCs w:val="20"/>
      <w:lang w:eastAsia="es-SV"/>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DC1EB5"/>
    <w:pPr>
      <w:spacing w:before="100" w:beforeAutospacing="1" w:after="100" w:afterAutospacing="1" w:line="240" w:lineRule="auto"/>
    </w:pPr>
    <w:rPr>
      <w:rFonts w:ascii="Times New Roman" w:eastAsia="Times New Roman" w:hAnsi="Times New Roman" w:cs="Times New Roman"/>
      <w:noProof w:val="0"/>
      <w:sz w:val="24"/>
      <w:szCs w:val="24"/>
      <w:lang w:eastAsia="es-SV"/>
    </w:rPr>
  </w:style>
  <w:style w:type="character" w:styleId="Textoennegrita">
    <w:name w:val="Strong"/>
    <w:basedOn w:val="Fuentedeprrafopredeter"/>
    <w:uiPriority w:val="22"/>
    <w:qFormat/>
    <w:rsid w:val="00DC1EB5"/>
    <w:rPr>
      <w:b/>
      <w:bCs/>
    </w:rPr>
  </w:style>
  <w:style w:type="character" w:customStyle="1" w:styleId="apple-converted-space">
    <w:name w:val="apple-converted-space"/>
    <w:basedOn w:val="Fuentedeprrafopredeter"/>
    <w:rsid w:val="00DC1EB5"/>
  </w:style>
  <w:style w:type="paragraph" w:styleId="HTMLconformatoprevio">
    <w:name w:val="HTML Preformatted"/>
    <w:basedOn w:val="Normal"/>
    <w:link w:val="HTMLconformatoprevioCar"/>
    <w:uiPriority w:val="99"/>
    <w:semiHidden/>
    <w:unhideWhenUsed/>
    <w:rsid w:val="00DC1E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noProof w:val="0"/>
      <w:sz w:val="20"/>
      <w:szCs w:val="20"/>
      <w:lang w:eastAsia="es-SV"/>
    </w:rPr>
  </w:style>
  <w:style w:type="character" w:customStyle="1" w:styleId="HTMLconformatoprevioCar">
    <w:name w:val="HTML con formato previo Car"/>
    <w:basedOn w:val="Fuentedeprrafopredeter"/>
    <w:link w:val="HTMLconformatoprevio"/>
    <w:uiPriority w:val="99"/>
    <w:semiHidden/>
    <w:rsid w:val="00DC1EB5"/>
    <w:rPr>
      <w:rFonts w:ascii="Courier New" w:eastAsia="Times New Roman" w:hAnsi="Courier New" w:cs="Courier New"/>
      <w:sz w:val="20"/>
      <w:szCs w:val="20"/>
      <w:lang w:eastAsia="es-S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3295451">
      <w:bodyDiv w:val="1"/>
      <w:marLeft w:val="0"/>
      <w:marRight w:val="0"/>
      <w:marTop w:val="0"/>
      <w:marBottom w:val="0"/>
      <w:divBdr>
        <w:top w:val="none" w:sz="0" w:space="0" w:color="auto"/>
        <w:left w:val="none" w:sz="0" w:space="0" w:color="auto"/>
        <w:bottom w:val="none" w:sz="0" w:space="0" w:color="auto"/>
        <w:right w:val="none" w:sz="0" w:space="0" w:color="auto"/>
      </w:divBdr>
      <w:divsChild>
        <w:div w:id="201702825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08377926">
              <w:blockQuote w:val="1"/>
              <w:marLeft w:val="720"/>
              <w:marRight w:val="720"/>
              <w:marTop w:val="100"/>
              <w:marBottom w:val="100"/>
              <w:divBdr>
                <w:top w:val="none" w:sz="0" w:space="0" w:color="auto"/>
                <w:left w:val="none" w:sz="0" w:space="0" w:color="auto"/>
                <w:bottom w:val="none" w:sz="0" w:space="0" w:color="auto"/>
                <w:right w:val="none" w:sz="0" w:space="0" w:color="auto"/>
              </w:divBdr>
            </w:div>
            <w:div w:id="673067698">
              <w:blockQuote w:val="1"/>
              <w:marLeft w:val="720"/>
              <w:marRight w:val="720"/>
              <w:marTop w:val="100"/>
              <w:marBottom w:val="100"/>
              <w:divBdr>
                <w:top w:val="none" w:sz="0" w:space="0" w:color="auto"/>
                <w:left w:val="none" w:sz="0" w:space="0" w:color="auto"/>
                <w:bottom w:val="none" w:sz="0" w:space="0" w:color="auto"/>
                <w:right w:val="none" w:sz="0" w:space="0" w:color="auto"/>
              </w:divBdr>
            </w:div>
            <w:div w:id="1615749685">
              <w:blockQuote w:val="1"/>
              <w:marLeft w:val="720"/>
              <w:marRight w:val="720"/>
              <w:marTop w:val="100"/>
              <w:marBottom w:val="100"/>
              <w:divBdr>
                <w:top w:val="none" w:sz="0" w:space="0" w:color="auto"/>
                <w:left w:val="none" w:sz="0" w:space="0" w:color="auto"/>
                <w:bottom w:val="none" w:sz="0" w:space="0" w:color="auto"/>
                <w:right w:val="none" w:sz="0" w:space="0" w:color="auto"/>
              </w:divBdr>
            </w:div>
            <w:div w:id="9048809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27768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77408678">
              <w:blockQuote w:val="1"/>
              <w:marLeft w:val="720"/>
              <w:marRight w:val="720"/>
              <w:marTop w:val="100"/>
              <w:marBottom w:val="100"/>
              <w:divBdr>
                <w:top w:val="none" w:sz="0" w:space="0" w:color="auto"/>
                <w:left w:val="none" w:sz="0" w:space="0" w:color="auto"/>
                <w:bottom w:val="none" w:sz="0" w:space="0" w:color="auto"/>
                <w:right w:val="none" w:sz="0" w:space="0" w:color="auto"/>
              </w:divBdr>
            </w:div>
            <w:div w:id="1714692648">
              <w:blockQuote w:val="1"/>
              <w:marLeft w:val="720"/>
              <w:marRight w:val="720"/>
              <w:marTop w:val="100"/>
              <w:marBottom w:val="100"/>
              <w:divBdr>
                <w:top w:val="none" w:sz="0" w:space="0" w:color="auto"/>
                <w:left w:val="none" w:sz="0" w:space="0" w:color="auto"/>
                <w:bottom w:val="none" w:sz="0" w:space="0" w:color="auto"/>
                <w:right w:val="none" w:sz="0" w:space="0" w:color="auto"/>
              </w:divBdr>
            </w:div>
            <w:div w:id="19912466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03036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87295065">
              <w:blockQuote w:val="1"/>
              <w:marLeft w:val="720"/>
              <w:marRight w:val="720"/>
              <w:marTop w:val="100"/>
              <w:marBottom w:val="100"/>
              <w:divBdr>
                <w:top w:val="none" w:sz="0" w:space="0" w:color="auto"/>
                <w:left w:val="none" w:sz="0" w:space="0" w:color="auto"/>
                <w:bottom w:val="none" w:sz="0" w:space="0" w:color="auto"/>
                <w:right w:val="none" w:sz="0" w:space="0" w:color="auto"/>
              </w:divBdr>
            </w:div>
            <w:div w:id="719286296">
              <w:blockQuote w:val="1"/>
              <w:marLeft w:val="720"/>
              <w:marRight w:val="720"/>
              <w:marTop w:val="100"/>
              <w:marBottom w:val="100"/>
              <w:divBdr>
                <w:top w:val="none" w:sz="0" w:space="0" w:color="auto"/>
                <w:left w:val="none" w:sz="0" w:space="0" w:color="auto"/>
                <w:bottom w:val="none" w:sz="0" w:space="0" w:color="auto"/>
                <w:right w:val="none" w:sz="0" w:space="0" w:color="auto"/>
              </w:divBdr>
            </w:div>
            <w:div w:id="1731880302">
              <w:blockQuote w:val="1"/>
              <w:marLeft w:val="720"/>
              <w:marRight w:val="720"/>
              <w:marTop w:val="100"/>
              <w:marBottom w:val="100"/>
              <w:divBdr>
                <w:top w:val="none" w:sz="0" w:space="0" w:color="auto"/>
                <w:left w:val="none" w:sz="0" w:space="0" w:color="auto"/>
                <w:bottom w:val="none" w:sz="0" w:space="0" w:color="auto"/>
                <w:right w:val="none" w:sz="0" w:space="0" w:color="auto"/>
              </w:divBdr>
            </w:div>
            <w:div w:id="1464612469">
              <w:blockQuote w:val="1"/>
              <w:marLeft w:val="720"/>
              <w:marRight w:val="720"/>
              <w:marTop w:val="100"/>
              <w:marBottom w:val="100"/>
              <w:divBdr>
                <w:top w:val="none" w:sz="0" w:space="0" w:color="auto"/>
                <w:left w:val="none" w:sz="0" w:space="0" w:color="auto"/>
                <w:bottom w:val="none" w:sz="0" w:space="0" w:color="auto"/>
                <w:right w:val="none" w:sz="0" w:space="0" w:color="auto"/>
              </w:divBdr>
            </w:div>
            <w:div w:id="856961946">
              <w:blockQuote w:val="1"/>
              <w:marLeft w:val="720"/>
              <w:marRight w:val="720"/>
              <w:marTop w:val="100"/>
              <w:marBottom w:val="100"/>
              <w:divBdr>
                <w:top w:val="none" w:sz="0" w:space="0" w:color="auto"/>
                <w:left w:val="none" w:sz="0" w:space="0" w:color="auto"/>
                <w:bottom w:val="none" w:sz="0" w:space="0" w:color="auto"/>
                <w:right w:val="none" w:sz="0" w:space="0" w:color="auto"/>
              </w:divBdr>
            </w:div>
            <w:div w:id="1037046082">
              <w:blockQuote w:val="1"/>
              <w:marLeft w:val="720"/>
              <w:marRight w:val="720"/>
              <w:marTop w:val="100"/>
              <w:marBottom w:val="100"/>
              <w:divBdr>
                <w:top w:val="none" w:sz="0" w:space="0" w:color="auto"/>
                <w:left w:val="none" w:sz="0" w:space="0" w:color="auto"/>
                <w:bottom w:val="none" w:sz="0" w:space="0" w:color="auto"/>
                <w:right w:val="none" w:sz="0" w:space="0" w:color="auto"/>
              </w:divBdr>
            </w:div>
            <w:div w:id="7435243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36017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1883</Words>
  <Characters>10359</Characters>
  <Application>Microsoft Office Word</Application>
  <DocSecurity>0</DocSecurity>
  <Lines>86</Lines>
  <Paragraphs>24</Paragraphs>
  <ScaleCrop>false</ScaleCrop>
  <Company>PNC-ES</Company>
  <LinksUpToDate>false</LinksUpToDate>
  <CharactersWithSpaces>12218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Pre-Configurado</dc:creator>
  <cp:lastModifiedBy>Pre-Configurado</cp:lastModifiedBy>
  <cp:revision>1</cp:revision>
  <dcterms:created xsi:type="dcterms:W3CDTF">2016-05-03T17:28:00Z</dcterms:created>
  <dcterms:modified xsi:type="dcterms:W3CDTF">2016-05-03T17:30:00Z</dcterms:modified>
</cp:coreProperties>
</file>