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14D" w:rsidRPr="009217A6" w:rsidRDefault="0093314D" w:rsidP="0093314D">
      <w:pPr>
        <w:pStyle w:val="Ttulo1"/>
        <w:jc w:val="center"/>
        <w:rPr>
          <w:rFonts w:ascii="Arial" w:hAnsi="Arial" w:cs="Arial"/>
          <w:bCs/>
          <w:color w:val="000000"/>
          <w:sz w:val="22"/>
        </w:rPr>
      </w:pPr>
      <w:bookmarkStart w:id="0" w:name="_Toc194650515"/>
      <w:bookmarkStart w:id="1" w:name="_GoBack"/>
      <w:bookmarkEnd w:id="1"/>
      <w:r w:rsidRPr="009217A6">
        <w:rPr>
          <w:rFonts w:ascii="Arial" w:hAnsi="Arial" w:cs="Arial"/>
          <w:bCs/>
          <w:color w:val="000000"/>
          <w:sz w:val="22"/>
        </w:rPr>
        <w:t>CAPITULO VI</w:t>
      </w:r>
      <w:bookmarkEnd w:id="0"/>
    </w:p>
    <w:p w:rsidR="0093314D" w:rsidRPr="009217A6" w:rsidRDefault="0093314D" w:rsidP="0093314D">
      <w:pPr>
        <w:pStyle w:val="Ttulo1"/>
        <w:jc w:val="center"/>
        <w:rPr>
          <w:rFonts w:ascii="Arial" w:hAnsi="Arial" w:cs="Arial"/>
          <w:sz w:val="22"/>
          <w:lang w:val="es-MX"/>
        </w:rPr>
      </w:pPr>
      <w:bookmarkStart w:id="2" w:name="_Toc194650516"/>
      <w:r w:rsidRPr="009217A6">
        <w:rPr>
          <w:rFonts w:ascii="Arial" w:hAnsi="Arial" w:cs="Arial"/>
          <w:sz w:val="22"/>
          <w:lang w:val="es-MX"/>
        </w:rPr>
        <w:t>EL CONTRA INTERROGATORIO</w:t>
      </w:r>
      <w:bookmarkEnd w:id="2"/>
    </w:p>
    <w:p w:rsidR="0093314D" w:rsidRPr="009217A6" w:rsidRDefault="0093314D" w:rsidP="0093314D">
      <w:pPr>
        <w:pStyle w:val="Ttulo1"/>
        <w:rPr>
          <w:rFonts w:ascii="Arial" w:hAnsi="Arial" w:cs="Arial"/>
          <w:sz w:val="22"/>
          <w:lang w:val="es-MX"/>
        </w:rPr>
      </w:pPr>
    </w:p>
    <w:p w:rsidR="0093314D" w:rsidRPr="009217A6" w:rsidRDefault="0093314D" w:rsidP="0093314D">
      <w:pPr>
        <w:pStyle w:val="Ttulo1"/>
        <w:rPr>
          <w:rFonts w:ascii="Arial" w:hAnsi="Arial" w:cs="Arial"/>
          <w:sz w:val="22"/>
          <w:lang w:val="es-MX"/>
        </w:rPr>
      </w:pPr>
      <w:bookmarkStart w:id="3" w:name="_Toc194650517"/>
      <w:r w:rsidRPr="009217A6">
        <w:rPr>
          <w:rFonts w:ascii="Arial" w:hAnsi="Arial" w:cs="Arial"/>
          <w:sz w:val="22"/>
          <w:lang w:val="es-MX"/>
        </w:rPr>
        <w:t>1. ASPECTOS GENERALES:</w:t>
      </w:r>
      <w:bookmarkEnd w:id="3"/>
    </w:p>
    <w:p w:rsidR="0093314D" w:rsidRPr="009217A6" w:rsidRDefault="0093314D" w:rsidP="0093314D">
      <w:pPr>
        <w:spacing w:line="360" w:lineRule="auto"/>
        <w:ind w:left="360"/>
        <w:jc w:val="both"/>
        <w:rPr>
          <w:rFonts w:ascii="Arial" w:hAnsi="Arial" w:cs="Arial"/>
          <w:sz w:val="22"/>
          <w:lang w:val="es-MX"/>
        </w:rPr>
      </w:pPr>
    </w:p>
    <w:p w:rsidR="0093314D" w:rsidRPr="009217A6" w:rsidRDefault="0093314D" w:rsidP="0093314D">
      <w:pPr>
        <w:pStyle w:val="Ttulo1"/>
        <w:rPr>
          <w:rFonts w:ascii="Arial" w:hAnsi="Arial" w:cs="Arial"/>
          <w:bCs/>
          <w:sz w:val="22"/>
        </w:rPr>
      </w:pPr>
      <w:bookmarkStart w:id="4" w:name="_Toc194650518"/>
      <w:r w:rsidRPr="009217A6">
        <w:rPr>
          <w:rFonts w:ascii="Arial" w:hAnsi="Arial" w:cs="Arial"/>
          <w:bCs/>
          <w:sz w:val="22"/>
        </w:rPr>
        <w:t>1.1  EL DEBIDO PROCESO:</w:t>
      </w:r>
      <w:bookmarkEnd w:id="4"/>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El Art. 11 </w:t>
      </w:r>
      <w:proofErr w:type="spellStart"/>
      <w:r w:rsidRPr="009217A6">
        <w:rPr>
          <w:rFonts w:ascii="Arial" w:hAnsi="Arial" w:cs="Arial"/>
          <w:sz w:val="22"/>
          <w:lang w:val="es-MX"/>
        </w:rPr>
        <w:t>inc</w:t>
      </w:r>
      <w:proofErr w:type="spellEnd"/>
      <w:r w:rsidRPr="009217A6">
        <w:rPr>
          <w:rFonts w:ascii="Arial" w:hAnsi="Arial" w:cs="Arial"/>
          <w:sz w:val="22"/>
          <w:lang w:val="es-MX"/>
        </w:rPr>
        <w:t xml:space="preserve"> 1 de la constitución de la república, establece: “Ninguna persona puede ser privada del derecho a la vida, a la libertad, a la propiedad y posesión, ni de cualquier otro de sus derechos sin ser previamente oída y vencida en juicio con arreglo a las leyes;...”</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El desarrollo de la anterior disposición constitucional, se encuentra regulado principalmente en el Art. 1 del código procesal penal vigente, bajo el acápite Juicio previo; el cual esta consignado en los siguientes términos: “Nadie podrá ser condenado o ser sometido a una medida de seguridad sino mediante una sentencia firme, dictada luego de probar los hechos en un juicio oral y público, llevado conforme a los principios establecidos en la constitución de la república, en este código y demás leyes, con observancia estricta de las garantías previstas para las personas”.</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De las disposiciones antes relacionadas deriva la existencia y reconocimiento en nuestro ordenamiento jurídico constitucional y procesal penal, del PRINCIPIO DE NECESIDAD DEL PROCESO (</w:t>
      </w:r>
      <w:proofErr w:type="spellStart"/>
      <w:r w:rsidRPr="009217A6">
        <w:rPr>
          <w:rFonts w:ascii="Arial" w:hAnsi="Arial" w:cs="Arial"/>
          <w:sz w:val="22"/>
          <w:lang w:val="es-MX"/>
        </w:rPr>
        <w:t>Nullun</w:t>
      </w:r>
      <w:proofErr w:type="spellEnd"/>
      <w:r w:rsidRPr="009217A6">
        <w:rPr>
          <w:rFonts w:ascii="Arial" w:hAnsi="Arial" w:cs="Arial"/>
          <w:sz w:val="22"/>
          <w:lang w:val="es-MX"/>
        </w:rPr>
        <w:t xml:space="preserve"> </w:t>
      </w:r>
      <w:proofErr w:type="spellStart"/>
      <w:r w:rsidRPr="009217A6">
        <w:rPr>
          <w:rFonts w:ascii="Arial" w:hAnsi="Arial" w:cs="Arial"/>
          <w:sz w:val="22"/>
          <w:lang w:val="es-MX"/>
        </w:rPr>
        <w:t>poena</w:t>
      </w:r>
      <w:proofErr w:type="spellEnd"/>
      <w:r w:rsidRPr="009217A6">
        <w:rPr>
          <w:rFonts w:ascii="Arial" w:hAnsi="Arial" w:cs="Arial"/>
          <w:sz w:val="22"/>
          <w:lang w:val="es-MX"/>
        </w:rPr>
        <w:t xml:space="preserve"> sine </w:t>
      </w:r>
      <w:proofErr w:type="spellStart"/>
      <w:r w:rsidRPr="009217A6">
        <w:rPr>
          <w:rFonts w:ascii="Arial" w:hAnsi="Arial" w:cs="Arial"/>
          <w:sz w:val="22"/>
          <w:lang w:val="es-MX"/>
        </w:rPr>
        <w:t>processu</w:t>
      </w:r>
      <w:proofErr w:type="spellEnd"/>
      <w:r w:rsidRPr="009217A6">
        <w:rPr>
          <w:rFonts w:ascii="Arial" w:hAnsi="Arial" w:cs="Arial"/>
          <w:sz w:val="22"/>
          <w:lang w:val="es-MX"/>
        </w:rPr>
        <w:t xml:space="preserve">), en virtud del cual entre el derecho penal sustantivo y el derecho procesal penal existe una inevitable conexidad, en el sentido que el derecho penal por si solo carece de eficacia para el ejercicio del </w:t>
      </w:r>
      <w:proofErr w:type="spellStart"/>
      <w:r w:rsidRPr="009217A6">
        <w:rPr>
          <w:rFonts w:ascii="Arial" w:hAnsi="Arial" w:cs="Arial"/>
          <w:sz w:val="22"/>
          <w:lang w:val="es-MX"/>
        </w:rPr>
        <w:t>Ius</w:t>
      </w:r>
      <w:proofErr w:type="spellEnd"/>
      <w:r w:rsidRPr="009217A6">
        <w:rPr>
          <w:rFonts w:ascii="Arial" w:hAnsi="Arial" w:cs="Arial"/>
          <w:sz w:val="22"/>
          <w:lang w:val="es-MX"/>
        </w:rPr>
        <w:t xml:space="preserve"> puniendo estatal, pues este únicamente, atendiendo al principio de legalidad penal (Art 1 del </w:t>
      </w:r>
      <w:proofErr w:type="spellStart"/>
      <w:r w:rsidRPr="009217A6">
        <w:rPr>
          <w:rFonts w:ascii="Arial" w:hAnsi="Arial" w:cs="Arial"/>
          <w:sz w:val="22"/>
          <w:lang w:val="es-MX"/>
        </w:rPr>
        <w:t>Pn</w:t>
      </w:r>
      <w:proofErr w:type="spellEnd"/>
      <w:r w:rsidRPr="009217A6">
        <w:rPr>
          <w:rFonts w:ascii="Arial" w:hAnsi="Arial" w:cs="Arial"/>
          <w:sz w:val="22"/>
          <w:lang w:val="es-MX"/>
        </w:rPr>
        <w:t xml:space="preserve">) tipifica los delitos y faltas, y además establece las penas y medidas de seguridad  a imponerse como consecuencia de la comisión de infracciones penales; pero ese derecho sustantivo no establece el conducto necesario para ejecutar el </w:t>
      </w:r>
      <w:proofErr w:type="spellStart"/>
      <w:r w:rsidRPr="009217A6">
        <w:rPr>
          <w:rFonts w:ascii="Arial" w:hAnsi="Arial" w:cs="Arial"/>
          <w:sz w:val="22"/>
          <w:lang w:val="es-MX"/>
        </w:rPr>
        <w:t>Ius</w:t>
      </w:r>
      <w:proofErr w:type="spellEnd"/>
      <w:r w:rsidRPr="009217A6">
        <w:rPr>
          <w:rFonts w:ascii="Arial" w:hAnsi="Arial" w:cs="Arial"/>
          <w:sz w:val="22"/>
          <w:lang w:val="es-MX"/>
        </w:rPr>
        <w:t xml:space="preserve"> </w:t>
      </w:r>
      <w:proofErr w:type="spellStart"/>
      <w:r w:rsidRPr="009217A6">
        <w:rPr>
          <w:rFonts w:ascii="Arial" w:hAnsi="Arial" w:cs="Arial"/>
          <w:sz w:val="22"/>
          <w:lang w:val="es-MX"/>
        </w:rPr>
        <w:t>puniendi</w:t>
      </w:r>
      <w:proofErr w:type="spellEnd"/>
      <w:r w:rsidRPr="009217A6">
        <w:rPr>
          <w:rFonts w:ascii="Arial" w:hAnsi="Arial" w:cs="Arial"/>
          <w:sz w:val="22"/>
          <w:lang w:val="es-MX"/>
        </w:rPr>
        <w:t xml:space="preserve"> estatal; y ese mecanismo es el proceso penal, en el cual se establecen los parámetros para comprobar la existencia del delito la determinación de quien o quienes lo han cometido orientado por la vigencia del principio de legalidad procesal (Art. 2 Pr. </w:t>
      </w:r>
      <w:proofErr w:type="spellStart"/>
      <w:r w:rsidRPr="009217A6">
        <w:rPr>
          <w:rFonts w:ascii="Arial" w:hAnsi="Arial" w:cs="Arial"/>
          <w:sz w:val="22"/>
          <w:lang w:val="es-MX"/>
        </w:rPr>
        <w:t>Pn</w:t>
      </w:r>
      <w:proofErr w:type="spellEnd"/>
      <w:r w:rsidRPr="009217A6">
        <w:rPr>
          <w:rFonts w:ascii="Arial" w:hAnsi="Arial" w:cs="Arial"/>
          <w:sz w:val="22"/>
          <w:lang w:val="es-MX"/>
        </w:rPr>
        <w:t>.).</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 “Deriva pues de este Art. 1 Pr. </w:t>
      </w:r>
      <w:proofErr w:type="spellStart"/>
      <w:r w:rsidRPr="009217A6">
        <w:rPr>
          <w:rFonts w:ascii="Arial" w:hAnsi="Arial" w:cs="Arial"/>
          <w:sz w:val="22"/>
          <w:lang w:val="es-MX"/>
        </w:rPr>
        <w:t>Pn</w:t>
      </w:r>
      <w:proofErr w:type="spellEnd"/>
      <w:r w:rsidRPr="009217A6">
        <w:rPr>
          <w:rFonts w:ascii="Arial" w:hAnsi="Arial" w:cs="Arial"/>
          <w:sz w:val="22"/>
          <w:lang w:val="es-MX"/>
        </w:rPr>
        <w:t xml:space="preserve">. que no hay pena sin proceso, siendo insuficiente el derecho criminal para reprimir el delito al carecer de valor directo e inmediato (solo vale la noema penal en cuanto procesalmente actuada) (Art.11 Cn); que han de preexistir ley penal y </w:t>
      </w:r>
      <w:r w:rsidRPr="009217A6">
        <w:rPr>
          <w:rFonts w:ascii="Arial" w:hAnsi="Arial" w:cs="Arial"/>
          <w:sz w:val="22"/>
          <w:lang w:val="es-MX"/>
        </w:rPr>
        <w:lastRenderedPageBreak/>
        <w:t xml:space="preserve">ley procesal penal, que el ejercicio del </w:t>
      </w:r>
      <w:proofErr w:type="spellStart"/>
      <w:r w:rsidRPr="009217A6">
        <w:rPr>
          <w:rFonts w:ascii="Arial" w:hAnsi="Arial" w:cs="Arial"/>
          <w:sz w:val="22"/>
          <w:lang w:val="es-MX"/>
        </w:rPr>
        <w:t>ius</w:t>
      </w:r>
      <w:proofErr w:type="spellEnd"/>
      <w:r w:rsidRPr="009217A6">
        <w:rPr>
          <w:rFonts w:ascii="Arial" w:hAnsi="Arial" w:cs="Arial"/>
          <w:sz w:val="22"/>
          <w:lang w:val="es-MX"/>
        </w:rPr>
        <w:t xml:space="preserve"> </w:t>
      </w:r>
      <w:proofErr w:type="spellStart"/>
      <w:r w:rsidRPr="009217A6">
        <w:rPr>
          <w:rFonts w:ascii="Arial" w:hAnsi="Arial" w:cs="Arial"/>
          <w:sz w:val="22"/>
          <w:lang w:val="es-MX"/>
        </w:rPr>
        <w:t>puniendi</w:t>
      </w:r>
      <w:proofErr w:type="spellEnd"/>
      <w:r w:rsidRPr="009217A6">
        <w:rPr>
          <w:rFonts w:ascii="Arial" w:hAnsi="Arial" w:cs="Arial"/>
          <w:sz w:val="22"/>
          <w:lang w:val="es-MX"/>
        </w:rPr>
        <w:t xml:space="preserve"> del Estado no solo requiere del proceso sino además del debido proceso o proceso justo.”</w:t>
      </w:r>
      <w:r w:rsidRPr="009217A6">
        <w:rPr>
          <w:rStyle w:val="Refdenotaalpie"/>
          <w:rFonts w:ascii="Arial" w:hAnsi="Arial" w:cs="Arial"/>
          <w:sz w:val="22"/>
          <w:lang w:val="es-MX"/>
        </w:rPr>
        <w:footnoteReference w:id="1"/>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Del anterior comentario se infiere que la garantía del juicio previo no se satisface con la configuración de cualquier proceso, sino de un DEBIDO PROCESO, de lo cual a nuestro juicio surgen dos interrogantes: 1- ) ¿Qué es el debido proceso? Y  2- ) ¿Qué requisitos debe reunir un proceso para ser considerado como debido?; Estas interrogantes se contestan así.</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El penalista Colombiano Fernando Velásquez sostiene que: “El debido proceso es todo ese conjunto de garantías que protegen al ciudadano sometido al proceso penal, que le aseguren a lo largo del mismo una recta, pronta y cumplida administración de justicia, que le aseguren la libertad y la seguridad jurídica.......”</w:t>
      </w:r>
      <w:r w:rsidRPr="009217A6">
        <w:rPr>
          <w:rStyle w:val="Refdenotaalpie"/>
          <w:rFonts w:ascii="Arial" w:hAnsi="Arial" w:cs="Arial"/>
          <w:sz w:val="22"/>
          <w:lang w:val="es-MX"/>
        </w:rPr>
        <w:footnoteReference w:id="2"/>
      </w:r>
      <w:r w:rsidRPr="009217A6">
        <w:rPr>
          <w:rFonts w:ascii="Arial" w:hAnsi="Arial" w:cs="Arial"/>
          <w:sz w:val="22"/>
          <w:lang w:val="es-MX"/>
        </w:rPr>
        <w:t xml:space="preserve">  </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En la misma línea, la honorable Sala de lo Penal de </w:t>
      </w:r>
      <w:smartTag w:uri="urn:schemas-microsoft-com:office:smarttags" w:element="PersonName">
        <w:smartTagPr>
          <w:attr w:name="ProductID" w:val="la Corte Suprema"/>
        </w:smartTagPr>
        <w:r w:rsidRPr="009217A6">
          <w:rPr>
            <w:rFonts w:ascii="Arial" w:hAnsi="Arial" w:cs="Arial"/>
            <w:sz w:val="22"/>
            <w:lang w:val="es-MX"/>
          </w:rPr>
          <w:t>la Corte Suprema</w:t>
        </w:r>
      </w:smartTag>
      <w:r w:rsidRPr="009217A6">
        <w:rPr>
          <w:rFonts w:ascii="Arial" w:hAnsi="Arial" w:cs="Arial"/>
          <w:sz w:val="22"/>
          <w:lang w:val="es-MX"/>
        </w:rPr>
        <w:t xml:space="preserve"> de Justicia expone que: “La garantía del debido proceso consiste básicamente en que la administración de justicia realizada por los tribunales, debe regirse por normas y reglas establecidas para la protección de los derechos fundamentales de los sujetos intervinientes en el proceso........”</w:t>
      </w:r>
      <w:r w:rsidRPr="009217A6">
        <w:rPr>
          <w:rStyle w:val="Refdenotaalpie"/>
          <w:rFonts w:ascii="Arial" w:hAnsi="Arial" w:cs="Arial"/>
          <w:sz w:val="22"/>
          <w:lang w:val="es-MX"/>
        </w:rPr>
        <w:footnoteReference w:id="3"/>
      </w:r>
      <w:r w:rsidRPr="009217A6">
        <w:rPr>
          <w:rFonts w:ascii="Arial" w:hAnsi="Arial" w:cs="Arial"/>
          <w:sz w:val="22"/>
          <w:lang w:val="es-MX"/>
        </w:rPr>
        <w:t xml:space="preserve">   </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Nosotros lo definimos como: El conjunto de derechos, principio y garantías que deben respetarse y concurrir acumulativamente en todo proceso, para calificarlo como correcto y justo. En otras palabras constituye una gama de requisitos o exigencias mínimas que debe reunir todo proceso para ser considerado como debido y en consecuencia justo.</w:t>
      </w:r>
    </w:p>
    <w:p w:rsidR="0093314D" w:rsidRPr="009217A6" w:rsidRDefault="0093314D" w:rsidP="0093314D">
      <w:pPr>
        <w:spacing w:line="360" w:lineRule="auto"/>
        <w:ind w:firstLine="360"/>
        <w:jc w:val="both"/>
        <w:rPr>
          <w:rFonts w:ascii="Arial" w:hAnsi="Arial" w:cs="Arial"/>
          <w:sz w:val="22"/>
          <w:lang w:val="es-MX"/>
        </w:rPr>
      </w:pPr>
      <w:r w:rsidRPr="009217A6">
        <w:rPr>
          <w:rFonts w:ascii="Arial" w:hAnsi="Arial" w:cs="Arial"/>
          <w:sz w:val="22"/>
          <w:lang w:val="es-MX"/>
        </w:rPr>
        <w:t xml:space="preserve">      </w:t>
      </w:r>
    </w:p>
    <w:p w:rsidR="0093314D" w:rsidRPr="009217A6" w:rsidRDefault="0093314D" w:rsidP="0093314D">
      <w:pPr>
        <w:spacing w:line="360" w:lineRule="auto"/>
        <w:ind w:firstLine="360"/>
        <w:jc w:val="both"/>
        <w:rPr>
          <w:rFonts w:ascii="Arial" w:hAnsi="Arial" w:cs="Arial"/>
          <w:sz w:val="22"/>
          <w:lang w:val="es-MX"/>
        </w:rPr>
      </w:pPr>
      <w:r w:rsidRPr="009217A6">
        <w:rPr>
          <w:rFonts w:ascii="Arial" w:hAnsi="Arial" w:cs="Arial"/>
          <w:sz w:val="22"/>
          <w:lang w:val="es-MX"/>
        </w:rPr>
        <w:t xml:space="preserve">Respondiendo a la segunda interrogante, afirmamos que el debido proceso, “debe contener ciertas garantías mínimas que aseguren al imputado, primero su dignidad como persona humana y segundo, la posibilidad cierta de ejercer su derecho de defensa”. </w:t>
      </w:r>
      <w:r w:rsidRPr="009217A6">
        <w:rPr>
          <w:rStyle w:val="Refdenotaalpie"/>
          <w:rFonts w:ascii="Arial" w:hAnsi="Arial" w:cs="Arial"/>
          <w:sz w:val="22"/>
          <w:lang w:val="es-MX"/>
        </w:rPr>
        <w:footnoteReference w:id="4"/>
      </w:r>
      <w:r w:rsidRPr="009217A6">
        <w:rPr>
          <w:rFonts w:ascii="Arial" w:hAnsi="Arial" w:cs="Arial"/>
          <w:sz w:val="22"/>
          <w:lang w:val="es-MX"/>
        </w:rPr>
        <w:t xml:space="preserve">    Dichas garantías mínimas se constituyen como los requisitos o exigencias básicas que debe plasmarse en todo proceso para ser considerado como debido; las  cuales se derivan de la constitución de la república y de los tratados internacionales; específicamente de los arts. 11, 12y 15 de </w:t>
      </w:r>
      <w:smartTag w:uri="urn:schemas-microsoft-com:office:smarttags" w:element="PersonName">
        <w:smartTagPr>
          <w:attr w:name="ProductID" w:val="la Constituci￳n"/>
        </w:smartTagPr>
        <w:r w:rsidRPr="009217A6">
          <w:rPr>
            <w:rFonts w:ascii="Arial" w:hAnsi="Arial" w:cs="Arial"/>
            <w:sz w:val="22"/>
            <w:lang w:val="es-MX"/>
          </w:rPr>
          <w:t>la Constitución</w:t>
        </w:r>
      </w:smartTag>
      <w:r w:rsidRPr="009217A6">
        <w:rPr>
          <w:rFonts w:ascii="Arial" w:hAnsi="Arial" w:cs="Arial"/>
          <w:sz w:val="22"/>
          <w:lang w:val="es-MX"/>
        </w:rPr>
        <w:t xml:space="preserve"> de la república, 14 del Pacto Internacional de Derechos Civiles y Políticos, 8.1, </w:t>
      </w:r>
      <w:r w:rsidRPr="009217A6">
        <w:rPr>
          <w:rFonts w:ascii="Arial" w:hAnsi="Arial" w:cs="Arial"/>
          <w:sz w:val="22"/>
          <w:lang w:val="es-MX"/>
        </w:rPr>
        <w:lastRenderedPageBreak/>
        <w:t xml:space="preserve">27.2 de </w:t>
      </w:r>
      <w:smartTag w:uri="urn:schemas-microsoft-com:office:smarttags" w:element="PersonName">
        <w:smartTagPr>
          <w:attr w:name="ProductID" w:val="la Convenci￳n Americana"/>
        </w:smartTagPr>
        <w:r w:rsidRPr="009217A6">
          <w:rPr>
            <w:rFonts w:ascii="Arial" w:hAnsi="Arial" w:cs="Arial"/>
            <w:sz w:val="22"/>
            <w:lang w:val="es-MX"/>
          </w:rPr>
          <w:t>la Convención Americana</w:t>
        </w:r>
      </w:smartTag>
      <w:r w:rsidRPr="009217A6">
        <w:rPr>
          <w:rFonts w:ascii="Arial" w:hAnsi="Arial" w:cs="Arial"/>
          <w:sz w:val="22"/>
          <w:lang w:val="es-MX"/>
        </w:rPr>
        <w:t xml:space="preserve"> sobre Derechos Humanos, 10, 11 de </w:t>
      </w:r>
      <w:smartTag w:uri="urn:schemas-microsoft-com:office:smarttags" w:element="PersonName">
        <w:smartTagPr>
          <w:attr w:name="ProductID" w:val="ミ㹼ヸ菨ꗜヘ༸ቷ Ƹ܈&#10;entreƻ܈佴ミ菨኱኱ ư܌㺬ヸ佈ミ㹼ヸ菨ꗜヘ኱ Ʃ܈኱኱ཀቷ멈๪뤘๪Ʈ܈particularesƣ܈佴ミ菨኱኱ Ƙ܌㺬ヸ佈ミ㹼ヸ菨ꗜヘ኱린๪ Ƒ܈኱኱኱ntraƖ܈,Ʃ؈Ɖ܈佴ミ菨኱኱ Ǝ܌㺬ヸ佈ミ㹼ヸ菨ꗜヘ኱Ƨ؈ Ƈ܈኱኱኱Ɯ؈ż܈lasſ܈佴ミ菨኱኱ Ŵ܌㺬ヸ佈ミ㹼ヸ菨ꗜヘ኱ ŭ܈኱኱኱YŢ܈mismasミ㹼ヸ菨ŧ܈佴ミ菨¢኱኱ Ŝ܌㺬ヸ佈ミ㹼ヸ菨ꗜヘ኱de ŕ܈኱኱኱`&#10;Ŋ܈&#10;debenō܈佴ミ菨¨኱኱ ł܌㺬ヸ佈ミ㹼ヸ菨ꗜヘ኱pr Ļ܈኱኱኱佴ミ菨İ܈dilucidarseĵ܈佴ミ菨´኱኱ Ī܌㺬ヸ佈ミ㹼ヸ菨ꗜヘ኱菨 ģ܈኱኱኱㺬ヸĘ܈enꗜヘě܈佴ミ菨·኱኱ Đ܌㺬ヸ佈ミ㹼ヸ菨ꗜヘ኱뺘๪ ĉ܈኱኱኱ꗜヘĎ܈unā܈佴ミ菨º኱኱ Ć܌㺬ヸ佈ミ㹼ヸ菨ꗜヘ኱ ǿ܈኱龜኱኱佈ミ㹼ヸǴ܈procesoǩ܈佴ミ菨Â郎኱኱ Ǯ܌㺬ヸ佈ミ㹼ヸ菨ꗜヘ豈኱㹼ヸ ǧ܈኱隸኱኱ǜ܈que쀔๪ǟ܈佴ミ菨Æ隆኱泌኱ ǔ܌㺬ヸ佈ミ㹼ヸ菨ꗜヘ聆኱샐๪ Ǎ܈歷኱難኱龜኱사๪ǂ܈noǅ܈佴ミ菨É戴኱礼኱ ƺ܌㺬ヸ佈ミ㹼ヸ菨ꗜヘ褐኱ Ƴ܈屮኱﬘኱隸኱ƨ܈sea샘๪ƫ܈佴ミ菨Í&#10;לּ኱靖኱ Ơ܌㺬ヸ佈ミ㹼ヸ菨ꗜヘ﬐኱ ƙ܈﫬኱ﯘ኱難኱ƞ܈únicamente๪솘๪Ɠ܈佴ミ菨Øﯼ኱ﮈ኱ ƈ܌㺬ヸ佈ミ㹼ヸ菨ꗜヘ﯐኱ Ɓ܈ﮬ኱ﲘ኱﬘኱쎈๪쉘๪Ɔ܈debidoミ菨Ż܈佴ミ菨Þﲼ኱ﱈ኱ Ű܌㺬ヸ佈ミ㹼ヸ菨ꗜヘﲐ኱싰๪ ũ܈ﱬ኱﵈኱ﯘ኱tervŮ܈,Ɓ؈š܈佴ミ菨àﵬ኱ﳸ኱ Ŧ܌㺬ヸ佈ミ㹼ヸ菨ꗜヘ﵀኱ſ؈ ş܈ﴜ኱ﷸ኱ﲘ኱Ŵ؈Ŕ܈esŗ܈佴ミ菨ã︜኱ﶨ኱ Ō܌㺬ヸ佈ミ㹼ヸ菨ꗜヘﷰ኱ Ņ܈﷌኱ﺨ኱﵈኱­ĺ܈&#10;decirĽ܈佴ミ菨éﻌ኱﹘኱ Ĳ܌㺬ヸ佈ミ㹼ヸ菨ꗜヘﺠ኱ab ī܈ﹼ኱ｨ኱ﷸ኱佴ミ菨Ġ܈conforme،㺬ヸĥ܈佴ミ菨òﾌ኱８኱ Ě܌㺬ヸ佈ミ㹼ヸ菨ꗜヘ｠኱菨 ē܈＼኱ኲﺨ኱㺬ヸĈ܈aꗜヘċ܈佴ミ菨ô&lt;ኲ￈኱ Ā܌㺬ヸ佈ミ㹼ヸ菨ꗜヘኲ菨 ǹ܈￬኱Èኲｨ኱㺬ヸǾ܈laꗜヘǱ܈佴ミ菨÷ìኲxኲ Ƕ܌㺬ヸ佈ミ㹼ヸ菨ꗜヘÀኲnt ǯ܈ኲƈኲኲ졤๪쟰๪Ǥ܈constituciónヘǙ܈佴ミ菨ĄƬኲĸኲ Ǟ܌㺬ヸ佈ミ㹼ヸ菨ꗜヘƀኲ菨 Ǘ܈ŜኲȸኲÈኲ㺬ヸǌ܈yꗜヘǏ܈佴ミ菨ĆɜኲǨኲ Ǆ܌㺬ヸ佈ミ㹼ヸ菨ꗜヘȰኲ菨 ƽ܈Ȍኲ˸ኲƈኲ㺬ヸƲ܈código즘๪Ʒ܈佴ミ菨č̜ኲʨኲ Ƭ܌㺬ヸ佈ミ㹼ヸ菨ꗜヘ˰ኲ ƥ܈ˌኲθኲȸኲ菨ƚ܈procesalƟ܈佴ミ菨ĖϜኲͨኲ Ɣ܌㺬ヸ佈ミ㹼ヸ菨ꗜヘΰኲƭ، ƍ܈ΌኲѨኲ˸ኲ쫸๪Ƃ܈&#10;penalƅ܈佴ミ菨ěҌኲИኲ ź܌㺬ヸ佈ミ㹼ヸ菨ꗜヘѠኲri ų܈мኲԘኲθኲjo Ũ܈;Ƌ؈ū܈佴ミ菨ĝԼኲӈኲ Š܌㺬ヸ佈ミ㹼ヸ菨ꗜヘԐኲ ř܈Ӭኲ׈ኲѨኲ초๪쬀๪Ş܈sino؈ő܈佴ミ菨Ģ׬ኲոኲ Ŗ܌㺬ヸ佈ミ㹼ヸ菨ꗜヘ׀ኲ ŏ܈֜ኲڈኲԘኲń܈además쳜๪춠๪찰๪Ĺ܈佴ミ菨ĩڬኲظኲ ľ܌㺬ヸ佈ミ㹼ヸ菨ꗜヘڀኲ ķ܈ٜኲܸኲ׈ኲ츸๪초๪Ĭ܈&#10;justoį܈佴ミ菨Įݜኲۨኲ Ĥ܌㺬ヸ佈ミ㹼ヸ菨ꗜヘܰኲĽ؈ ĝ܈܌ኲߨኲڈኲĲ؈Ē܈,&#10;ĕ܈佴ミ菨İࠌኲޘኲ Ċ܌㺬ヸ佈ミ㹼ヸ菨ꗜヘߠኲ ă܈޼ኲ࢘ኲܸኲǸ܈esヸǻ܈佴ミ菨ĳࢼኲࡈኲ ǰ܌㺬ヸ佈ミ㹼ヸ菨ꗜヘ࢐ኲ菨 ǩ܈࡬ኲैኲߨኲ㺬ヸǮ܈&#10;decirǡ܈佴ミ菨ĸ६ኲࣸኲ Ǧ܌㺬ヸ佈ミ㹼ヸ菨ꗜヘीኲĺ؈ ǟ܈जኲ৸ኲ࢘ኲ탤๪큰๪ǔ܈;佈ミ㹼ヸǗ܈佴ミ菨ĺਜኲনኲ ǌ܌㺬ヸ佈ミ㹼ヸ菨ꗜヘৰኲ؈ ǅ܈ৌኲનኲैኲ톔๪턠๪ƺ܈que㹼ヸƽ܈佴ミ菨ľૌኲ੘ኲ Ʋ܌㺬ヸ佈ミ㹼ヸ菨ꗜヘઠኲul ƫ܈੼ኲ୨ኲ৸ኲƠ܈busqueヸ佈ミ㹼ヸƥ܈佴ミ菨Ņ஌ኲଘኲ ƚ܌㺬ヸ佈ミ㹼ヸ菨ꗜヘୠኲǾ، Ɠ܈଼ኲఘኲનኲ팄๪튐๪ƈ܈laミ㹼ヸƋ܈佴ミ菨ň఼ኲைኲ ƀ܌㺬ヸ佈ミ㹼ヸ菨ꗜヘఐኲǤ، Ź܈௬ኲ೘ኲ୨ኲ펴๪퍀๪ž܈consecuciónꗜヘų܈佴ミ菨Ŕ೼ኲಈኲ Ũ܌㺬ヸ佈ミ㹼ヸ菨ꗜヘ೐ኲ㹼ヸ š܈ಬኲඈኲఘኲ푴๪퐀๪Ŧ܈deミ㹼ヸř܈佴ミ菨ŗඬኲസኲ Ş܌㺬ヸ佈ミ㹼ヸ菨ꗜヘ඀ኲƲ، ŗ܈൜ኲุኲ೘ኲ픤๪풰๪Ō܈laミ㹼ヸŏ܈佴ミ菨Ś ๜ኲ෨ኲ ń܌㺬ヸ佈ミ㹼ヸ菨ꗜヘะኲtu Ľ܈ฌኲ໸ኲඈኲĲ܈principal佈ミ㹼ヸķ܈佴ミ菨Ť ༜ኲຨኲ Ĭ܌㺬ヸ佈ミ㹼ヸ菨ꗜヘ໰ኲƀ، ĥ܈໌ኲྸኲุኲ횔๪혠๪Ě܈finalidadꗜヘğ܈佴ミ菨Ů࿜ኲཨኲ Ĕ܌㺬ヸ佈ミ㹼ヸ菨ꗜヘྰኲ菨 č܈ྌኲၨኲ໸ኲ㺬ヸĂ܈delꗜヘą܈佴ミ菨Ųႌኲဘኲ Ǻ܌㺬ヸ佈ミ㹼ヸ菨ꗜヘၠኲ菨 ǳ܈ြኲᄨኲྸኲ㺬ヸǨ܈proceso퟈๪ǭ܈佴ミ菨źᅌኲიኲ Ǣ܌㺬ヸ佈ミ㹼ヸ菨ꗜヘᄠኲ Ǜ܈ჼኲᇘኲၨኲ菨ǐ܈&#10;penalǓ܈佴ミ菨ſᇼኲᆈኲ ǈ܌㺬ヸ佈ミ㹼ヸ菨ꗜヘᇐኲ ǁ܈ᆬኲኈኲᄨኲ菨ǆ܈,ƹ܈佴ミ菨Ɓኬኲሸኲ ƾ܌㺬ヸ佈ミ㹼ヸ菨ꗜヘኀኲ菨 Ʒ܈ቜኲጸኲᇘኲ㺬ヸƬ܈queꗜヘƯ܈佴ミ菨ƅ፜ኲየኲ Ƥ܌㺬ヸ佈ミ㹼ヸ菨ꗜヘጰኲ.1 Ɲ܈ጌኲᏨኲኈኲ๪๪ƒ܈esミ㹼ヸƕ܈佴ミ菨ƈᐌኲ᎘ኲ Ɗ܌㺬ヸ佈ミ㹼ヸ菨ꗜヘᏠኲdo ƃ܈ᎼኲᒘኲጸኲŸ܈laƛ،Ż܈佴ミ菨Ƌᒼኲᑈኲ Ű܌㺬ヸ佈ミ㹼ヸ菨ꗜヘᒐኲƉ؈ ũ܈ᑬኲᕘኲᏨኲŮ܈búsqueda佈ミ㹼ヸţ܈佴ミ菨Ɣᕼኲᔈኲ Ř܌㺬ヸ佈ミ㹼ヸ菨ꗜヘᕐኲƼ، ő܈ᔬኲᘈኲᒘኲ๪๪Ŗ܈deミ㹼ヸŉ܈佴ミ菨Ɨᘬኲᖸኲ Ŏ܌㺬ヸ佈ミ㹼ヸ菨ꗜヘᘀኲam Ň܈ᗜኲᚸኲᕘኲļ܈laş،Ŀ܈佴ミ菨ƚᛜኲᙨኲ Ĵ܌㺬ヸ佈ミ㹼ヸ菨ꗜヘᚰኲō؈ ĭ܈ᚌኲ᝸ኲᘈኲĢ܈verdadヸ佈ミ㹼ヸħ܈佴ミ菨ơវኲᜨኲ Ĝ܌㺬ヸ佈ミ㹼ヸ菨ꗜヘᝰኲdo ĕ܈ᝌኲᠨኲᚸኲĊ܈real،č܈佴ミ菨ƥᡌኲ៘ኲ Ă܌㺬ヸ佈ミ㹼ヸ菨ꗜヘᠠኲě؈ ǻ܈៼ኲᣘኲ᝸ኲǰ܈. ē،ǳ܈佴ミ菨Ʀ᣼ኲᢈኲ Ǩ܌㺬ヸ佈ミ㹼ヸ菨ꗜヘᣐኲā؈ ǡ܈᢬ኲᨠኲᠨኲĆ؈Ǧ܈&#10;¨Ǚ܈&#10;Ahoraǜ܈,ヘǟ܈&#10;al.ǒ܈esue1anǗ܈bien Listǌ܈佴ミ菨᥄ኲ᧐ኲ ǁ܌㺬ヸ佈ミ㹼ヸ菨ꗜヘᨘኲǚ؈ ƺ܈᧴ኲ᪸ኲᣘኲǟ؈ƿ܈佴ミ菨ᤔኲᩨኲ ƴ܌㺬ヸ佈ミ㹼ヸ菨ꗜヘ᪰ኲ ƭ܈᪌ኲ᭐ኲᨠኲ๪๪Ƣ܈佴ミ菨ᦄኲᬀኲ Ƨ܌㺬ヸ佈ミ㹼ヸ菨ꗜヘᭈኲ Ɛ܈ᬤኲᯨኲ᪸ኲƕ܈佴ミ菨᤬ኲᮘኲ Ɗ܌㺬ヸ佈ミ㹼ヸ菨ꗜヘᯠኲ ƃ܈ᮼኲᲀኲ᭐ኲ菨Ÿ܈佴ミ菨&#10;ᥜኲᰰኲ Ž܌㺬ヸ佈ミ㹼ヸ菨ꗜヘᱸኲnt Ŷ܈᱔ኲᴘኲᯨኲÅū܈佴ミ菨 ᴼኲ᳈ኲ Š܌㺬ヸ佈ミ㹼ヸ菨ꗜヘᴐኲ ř܈ᳬኲᷘኲᲀኲž؈Ş܈necesario ų،œ܈佴ミ菨᷼ኲᶈኲ ň܌㺬ヸ佈ミ㹼ヸ菨ꗜヘ᷐ኲš؈ Ł܈ᶬኲẘኲᴘኲņ܈aclarar佈ミ㹼ヸĻ܈佴ミ菨&quot;⮌ቷṈኲ İ܌㺬ヸ佈ミ㹼ヸ菨ꗜヘẐኲe ĩ܈Ṭኲἰኲᷘኲ๪๪Į܈佴ミ菨&amp;ὔኲỠኲ ģ܌㺬ヸ佈ミ㹼ヸ菨ꗜヘἨኲ Ĝ܈ἄኲ῰ኲẘኲ淌ॸđ܈ninguna๪๪Ė܈佴ミ菨.⬄ቷᾠኲ ċ܌㺬ヸ佈ミ㹼ヸ菨ꗜヘῨኲ Ą܈ῄኲ₈ኲἰኲdeǹ܈佴ミ菨1€ኲ‸ኲ Ǿ܌㺬ヸ佈ミ㹼ヸ菨ꗜヘ₀ኲŒ، Ƿ܈⁜ኲℸኲ῰ኲ涠඙Ǭ܈loseǯ܈佴ミ菨5⅜ኲ⃨ኲ Ǥ܌㺬ヸ佈ミ㹼ヸ菨ꗜヘℰኲĸ، ǝ܈ℌኲ⇸ኲ₈ኲ湐඙ǒ܈derechos؈測඙Ǘ܈佴ミ菨&gt;∜ኲ↨ኲ ǌ܌㺬ヸ佈ミ㹼ヸ菨ꗜヘ⇰ኲ㹼ヸ ǅ܈⇌ኲ⊨ኲℸኲƺ܈eniciƽ܈佴ミ菨A ⋌ኲ≘ኲ Ʋ܌㺬ヸ佈ミ㹼ヸ菨ꗜヘ⊠ኲ ƫ܈≼ኲ⍨ኲ⇸ኲ๪๪Ơ܈conflicto澜඙ƥ܈佴ミ菨J⎌ኲ⌘ኲ ƚ܌㺬ヸ佈ミ㹼ヸ菨ꗜヘ⍠ኲ㹼ヸ Ɠ܈⌼ኲ␘ኲ⊨ኲƈ܈,灌඙Ƌ܈佴ミ菨L ␼ኲ⏈ኲ ƀ܌㺬ヸ佈ミ㹼ヸ菨ꗜヘ␐ኲ㹼ヸ Ź܈⏬ኲⓘኲ⍨ኲž܈prevaleceeų܈佴ミ菨V⓼ኲ⒈ኲ Ũ܌㺬ヸ佈ミ㹼ヸ菨ꗜヘⓐኲꗜヘ š܈⒬ኲ█ኲ␘ኲ ǁ؈Ŧ܈&#10;sobreř܈佴ミ菨\▬ኲ┸ኲ Ş܌㺬ヸ佈ミ㹼ヸ菨ꗜヘ▀ኲ ŗ܈╜ኲ☸ኲⓘኲ๪๪Ō܈elů؈ŏ܈佴ミ菨_♜ኲ◨ኲ ń܌㺬ヸ佈ミ㹼ヸ菨ꗜヘ☰ኲ Ľ܈☌ኲ⛨ኲ█ኲ๪๪Ĳ܈otro؈ĵ܈佴ミ菨c✌ኲ⚘ኲ Ī܌㺬ヸ佈ミ㹼ヸ菨ꗜヘ⛠ኲꗜヘ ģ܈⚼ኲ➘ኲ☸ኲ ĸ؈Ę܈,ě܈佴ミ菨e➼ኲ❈ኲ Đ܌㺬ヸ佈ミ㹼ヸ菨ꗜヘ➐ኲꗜヘ ĉ܈❬ኲ⡈ኲ⛨ኲ Į؈Ď܈puesā܈佴ミ菨j⡬ኲ⟸ኲ Ć܌㺬ヸ佈ミ㹼ヸ菨ꗜヘ⡀ኲꗜヘ ǿ܈⠜ኲ⤈ኲ➘ኲ Ĕ؈Ǵ܈ningún œ؈ĉ؈ǩ܈佴ミ菨q⤬ኲ⢸ኲ Ǯ܌㺬ヸ佈ミ㹼ヸ菨ꗜヘ⤀ኲ ǧ܈⣜ኲ⧈ኲ⡈ኲ๪๪ǜ܈derechogeneraǑ܈佴ミ菨y⧬ኲ⥸ኲ ǖ܌㺬ヸ佈ミ㹼ヸ菨ꗜヘ⧀ኲ Ǐ܈⦜ኲ⩸ኲ⤈ኲ๪๪Ǆ܈esǧ؈Ǉ܈佴ミ菨|⪜ኲ⨨ኲ Ƽ܌㺬ヸ佈ミ㹼ヸ菨ꗜヘ⩰ኲ Ƶ܈⩌ኲ⬸ኲ⧈ኲ๪๪ƪ܈absolutoiguieƯ܈佴ミ菨⭜ኲ⫨ኲ Ƥ܌㺬ヸ佈ミ㹼ヸ菨ꗜヘ⬰ኲ Ɲ܈⬌ኲ⯨ኲ⩸ኲ๪๪ƒ܈,Ƶ؈ƕ܈佴ミ菨Ⰼኲ⮘ኲ Ɗ܌㺬ヸ佈ミ㹼ヸ菨ꗜヘ⯠ኲ ƃ܈⮼ኲⲘኲ⬸ኲ๪๪Ÿ܈sino؈Ż܈佴ミ菨Ⲽኲⱈኲ Ű܌㺬ヸ佈ミ㹼ヸ菨ꗜヘⲐኲꗜヘ ũ܈ⱬኲⵈኲ⯨ኲ Ǝ؈Ů܈porš܈佴ミ菨⵬ኲ⳸ኲ Ŧ܌㺬ヸ佈ミ㹼ヸ菨ꗜヘⵀኲꗜヘ ş܈ⴜኲⷸኲⲘኲ Ŵ؈Ŕ܈elŗ܈佴ミ菨 ⸜ኲⶨኲ Ō܌㺬ヸ佈ミ㹼ヸ菨ꗜヘⷰኲ㹼ヸ Ņ܈ⷌኲ⺸ኲⵈኲĺ܈contrarioĿ܈佴ミ菨⻜ኲ⹨ኲ Ĵ܌㺬ヸ佈ミ㹼ヸ菨ꗜヘ⺰ኲꗜヘ ĭ܈⺌ኲ⽨ኲⷸኲ ł؈Ģ܈sonĥ܈佴ミ菨  ⾌ኲ⼘ኲ Ě܌㺬ヸ佈ミ㹼ヸ菨ꗜヘ⽠ኲ㹼ヸ ē܈⼼ኲ〨ኲ⺸ኲĈ܈relativosč܈佴ミ菨©がኲ⿘ኲ Ă܌㺬ヸ佈ミ㹼ヸ菨ꗜヘ〠ኲꗜヘ ǻ܈⿼ኲヘኲ⽨ኲ Đ؈ǰ܈.ǳ܈佴ミ菨«ーኲよኲ Ǩ܌㺬ヸ佈ミ㹼ヸ菨ꗜヘバኲꗜヘ ǡ܈ガኲㆈኲ〨ኲ Ć؈Ǧ܈EstaǙ܈佴ミ菨° ㆬኲㄸኲ Ǟ܌㺬ヸ佈ミ㹼ヸ菨ꗜヘㆀኲ㹼ヸ Ǘ܈ㅜኲ㉈ኲヘኲǌ܈limitanteǁ܈佴ミ菨º㉬ኲㇸኲ ǆ܌㺬ヸ佈ミ㹼ヸ菨ꗜヘ㉀ኲꗜヘ ƿ܈㈜ኲ㋸ኲㆈኲ ǔ؈ƴ܈estaƷ܈佴ミ菨¿㌜ኲ㊨ኲ Ƭ܌㺬ヸ佈ミ㹼ヸ菨ꗜヘ㋰ኲꗜヘ ƥ܈㋌ኲ㎸ኲ㉈ኲ ƺ؈ƚ܈reguladaƿ؈Ɵ܈佴ミ菨È㏜ኲ㍨ኲ Ɣ܌㺬ヸ佈ミ㹼ヸ菨ꗜヘ㎰ኲƭ؈ ƍ܈㎌ኲ㑨ኲ㋸ኲƢ؈Ƃ܈enistƅ܈佴ミ菨Ë㒌ኲ㐘ኲ ź܌㺬ヸ佈ミ㹼ヸ菨ꗜヘ㑠ኲ ų܈㐼ኲ㔘ኲ㎸ኲŨ܈elミ菨ū܈佴ミ菨Ï㔼ኲ㓈ኲ Š܌㺬ヸ佈ミ㹼ヸ菨ꗜヘ㔐ኲﯤ๪ ř܈㓬ኲ㗈ኲ㑨ኲ佴ミ菨Ş܈artﱘ๪ő܈佴ミ菨Ò㗬ኲ㕸ኲ Ŗ܌㺬ヸ佈ミ㹼ヸ菨ꗜヘ㗀ኲ艬඙ ŏ܈㖜ኲ㙸ኲ㔘ኲ充๪ﳰ๪ń܈.佈ミ㹼ヸŇ܈佴ミ菨Ô㚜ኲ㘨ኲ ļ܌㺬ヸ佈ミ㹼ヸ菨ꗜヘ㙰ኲ ĵ܈㙌ኲ㜨ኲ㗈ኲ佈ミ㹼ヸĪ܈32﷐๪ĭ܈佴ミ菨Ö㝌ኲ㛘ኲ Ģ܌㺬ヸ佈ミ㹼ヸ菨ꗜヘ㜠ኲĻ، ě܈㛼ኲ㟘ኲ㙸ኲ﹨๪Đ܈.菨ē܈佴ミ菨×㟼ኲ㞈ኲ Ĉ܌㺬ヸ佈ミ㹼ヸ菨ꗜヘ㟐ኲ ā܈㞬ኲ㢈ኲ㜨ኲ菨Ć܈2ǹ܈佴ミ菨Ù㢬ኲ㠸ኲ Ǿ܌㺬ヸ佈ミ㹼ヸ菨ꗜヘ㢀ኲ Ƿ܈㡜ኲ㤸ኲ㟘ኲ菨Ǭ܈deǯ܈佴ミ菨Ü㥜ኲ㣨ኲ Ǥ܌㺬ヸ佈ミ㹼ヸ菨ꗜヘ㤰ኲ菨 ǝ܈㤌ኲ㧨ኲ㢈ኲ㺬ヸǒ܈laꗜヘǕ܈佴ミ菨ß&#10;㨌ኲ㦘ኲ Ǌ܌㺬ヸ佈ミ㹼ヸ菨ꗜヘ㧠ኲ ǃ܈㦼ኲ㪨ኲ㤸ኲƄ๫Đ๫Ƹ܈Convenciónꗜヘƽ܈佴ミ菨ê 㫌ኲ㩘ኲ Ʋ܌㺬ヸ佈ミ㹼ヸ菨ꗜヘ㪠ኲ蝌඙ ƫ܈㩼ኲ㭨ኲ㧨ኲɄ๫ǐ๫Ơ܈Americanaꗜヘƥ܈佴ミ菨ô㮌ኲ㬘ኲ ƚ܌㺬ヸ佈ミ㹼ヸ菨ꗜヘ㭠ኲ菨 Ɠ܈㬼ኲ㰘ኲ㪨ኲ㺬ヸƈ܈deꗜヘƋ܈佴ミ菨÷㰼ኲ㯈ኲ ƀ܌㺬ヸ佈ミ㹼ヸ菨ꗜヘ㰐ኲ Ź܈㯬ኲ㳘ኲ㭨ኲδ๫̀๫ž܈Derechoꗜヘų܈佴ミ菨ÿ㳼ኲ㲈ኲ Ũ܌㺬ヸ佈ミ㹼ヸ菨ꗜヘ㳐ኲ菨 š܈㲬ኲ㶘ኲ㰘ኲ㺬ヸŦ܈Humanosи๫ś܈佴ミ菨Ć㶼ኲ㵈ኲ Ő܌㺬ヸ佈ミ㹼ヸ菨ꗜヘ㶐ኲ菨 ŉ܈㵬ኲ㹈ኲ㳘ኲ㺬ヸŎ܈,ꗜヘŁ܈佴ミ菨Ĉ㹬ኲ㷸ኲ ņ܌㺬ヸ佈ミ㹼ヸ菨ꗜヘ㹀ኲ Ŀ܈㸜ኲ㻸ኲ㶘ኲפ๫հ๫Ĵ܈que㹼ヸķ܈佴ミ菨Č㼜ኲ㺨ኲ Ĭ܌㺬ヸ佈ミ㹼ヸ菨ꗜヘ㻰ኲuy ĥ܈㻌ኲ㾨ኲ㹈ኲĚ܈reza،ĝ܈佴ミ菨đ㿌ኲ㽘ኲ Ē܌㺬ヸ佈ミ㹼ヸ菨ꗜヘ㾠ኲī؈ ċ܈㽼ኲ䁘ኲ㻸ኲĠ؈Ā܈asíă܈佴ミ菨Ĕ䁼ኲ䀈ኲ Ǹ܌㺬ヸ佈ミ㹼ヸ菨ꗜヘ䁐ኲ Ǳ܈䀬ኲ䄈ኲ㾨ኲĖ؈Ƕ܈:oǩ܈佴ミ菨Ė䄬ኲ䂸ኲ Ǯ܌㺬ヸ佈ミ㹼ヸ菨ꗜヘ䄀ኲ ǧ܈䃜ኲ䆸ኲ䁘ኲadeǜ܈“佴ミ菨ǟ܈佴ミ菨ė䇜ኲ䅨ኲ ǔ܌㺬ヸ佈ミ㹼ヸ菨ꗜヘ䆰ኲࢄ๫ Ǎ܈䆌ኲ䉨ኲ䄈ኲveǂ܈LosǪԈǅ܈佴ミ菨ě䊌ኲ䈘ኲ ƺ܌㺬ヸ佈ミ㹼ヸ菨ꗜヘ䉠ኲǘԈ Ƴ܈䈼ኲ䌨ኲ䆸ኲǝԈƨ܈derechos؈佴ミ菨ƭ܈佴ミ菨Ĥ䍌ኲ䋘ኲ Ƣ܌㺬ヸ佈ミ㹼ヸ菨ꗜヘ䌠ኲ৴๫ ƛ܈䋼ኲ䏘ኲ䉨ኲesƐ܈deミ菨Ɠ܈佴ミ菨ħ䏼ኲ䎈ኲ ƈ܌㺬ヸ佈ミ㹼ヸ菨ꗜヘ䏐ኲત๫ Ɓ܈䎬ኲ䒈ኲ䌨ኲ&#10;deƆ܈cadaŹ܈佴ミ菨Ĭ䒬ኲ䐸ኲ ž܌㺬ヸ佈ミ㹼ヸ菨ꗜヘ䒀ኲ୔๫ ŷ܈䑜ኲ䕈ኲ䏘ኲ,Ŭ܈personaš܈佴ミ菨Ĵ䕬ኲ䓸ኲ Ŧ܌㺬ヸ佈ミ㹼ヸ菨ꗜヘ䕀ኲ ş܈䔜ኲ䗸ኲ䒈ኲŴ؈Ŕ܈&#10;estánŗ܈佴ミ菨ĺ 䘜ኲ䖨ኲ Ō܌㺬ヸ佈ミ㹼ヸ菨ꗜヘ䗰ኲ Ņ܈䗌ኲ䚸ኲ䕈ኲamenĺ܈limitadosĿ܈佴ミ菨ń䛜ኲ䙨ኲ Ĵ܌㺬ヸ佈ミ㹼ヸ菨ꗜヘ䚰ኲ ĭ܈䚌ኲ䝨ኲ䗸ኲł؈Ģ܈porĥ܈佴ミ菨ň䞌ኲ䜘ኲ Ě܌㺬ヸ佈ミ㹼ヸ菨ꗜヘ䝠ኲ ē܈䜼ኲ䠘ኲ䚸ኲónĈ܈los菨ċ܈佴ミ菨Ō䠼ኲ䟈ኲ Ā܌㺬ヸ佈ミ㹼ヸ菨ꗜヘ䠐ኲ໤๫ ǹ܈䟬ኲ䣘ኲ䝨ኲquǾ܈derechos­&#10;ǳ܈佴ミ菨ŕ䣼ኲ䢈ኲ Ǩ܌㺬ヸ佈ミ㹼ヸ菨ꗜヘ䣐ኲ ǡ܈䢬ኲ䦈ኲ䠘ኲemosǦ܈deミ菨Ǚ܈佴ミ菨Ř䦬ኲ䤸ኲ Ǟ܌㺬ヸ佈ミ㹼ヸ菨ꗜヘ䦀ኲၔ๫ Ǘ܈䥜ኲ䨸ኲ䣘ኲyǌ܈los菨Ǐ܈佴ミ菨Ŝ䩜ኲ䧨ኲ Ǆ܌㺬ヸ佈ミ㹼ヸ菨ꗜヘ䨰ኲᄄ๫ ƽ܈䨌ኲ䫨ኲ䦈ኲ&#10;heƲ܈&#10;demásƵ܈佴ミ菨š䬌ኲ䪘ኲ ƪ܌㺬ヸ佈ミ㹼ヸ菨ꗜヘ䫠ኲᆴ๫ ƣ܈䪼ኲ䮘ኲ䨸ኲplƘ܈,n駐ॸƛ܈佴ミ菨ţ䮼ኲ䭈ኲ Ɛ܌㺬ヸ佈ミ㹼ヸ菨ꗜヘ䮐ኲ Ɖ܈䭬ኲ䱈ኲ䫨ኲƎ܈porƁ܈佴ミ菨ŧ䱬ኲ䯸ኲ Ɔ܌㺬ヸ佈ミ㹼ヸ菨ꗜヘ䱀ኲ騠ॸ ſ܈䰜ኲ䳸ኲ䮘ኲŴ܈labunŷ܈佴ミ菨Ū 䴜ኲ䲨ኲ Ŭ܌㺬ヸ佈ミ㹼ヸ菨ꗜヘ䳰ኲ ť܈䳌ኲ䶸ኲ䱈ኲᓀ๫ፐ๫Ś܈seguridadraॸş܈佴ミ菨Ŵ䷜ኲ䵨ኲ Ŕ܌㺬ヸ佈ミ㹼ヸ菨ꗜヘ䶰ኲ ō܈䶌ኲ乨ኲ䳸ኲ佴ミ菨ł܈defroŅ܈佴ミ菨ŷ二ኲ丘ኲ ĺ܌㺬ヸ佈ミ㹼ヸ菨ꗜヘ习ኲmi ĳ܈丼ኲ优ኲ䶸ኲĨ܈&#10;todosī܈佴ミ菨Ž似ኲ仈ኲ Ġ܌㺬ヸ佈ミ㹼ヸ菨ꗜヘ伐ኲĹ؈ ę܈们ኲ俈ኲ乨ኲĞ܈yı؈đ܈佴ミ菨ſ俬ኲ佸ኲ Ė܌㺬ヸ佈ミ㹼ヸ菨ꗜヘ俀ኲį؈ ď܈侜ኲ偸ኲ优ኲĤ؈Ą܈porć܈佴ミ菨ƃ傜ኲ倨ኲ Ǽ܌㺬ヸ佈ミ㹼ヸ菨ꗜヘ偰ኲ ǵ܈偌ኲ儨ኲ俈ኲ&#10;Ǫ܈lasǭ܈佴ミ菨Ƈ兌ኲ僘ኲ Ǣ܌㺬ヸ佈ミ㹼ヸ菨ꗜヘ儠ኲ菨 Ǜ܈僼ኲ凨ኲ偸ኲ㺬ヸǐ܈justasᢈ๫Ǖ܈佴ミ菨Ǝ&#10;刌ኲ冘ኲ Ǌ܌㺬ヸ佈ミ㹼ヸ菨ꗜヘ几ኲ ǃ܈冼ኲ动ኲ儨ኲƸ܈exigencias๫ᢐ๫ƽ܈佴ミ菨ƙ勌ኲ剘ኲ Ʋ܌㺬ヸ佈ミ㹼ヸ菨ꗜヘ加ኲ ƫ܈剼ኲ単ኲ凨ኲƠ܈delǃ؈ƣ܈佴ミ菨Ɲ卼ኲ匈ኲ Ƙ܌㺬ヸ佈ミ㹼ヸ菨ꗜヘ卐ኲꗜヘ Ƒ܈匬ኲ合ኲ动ኲ ƶ؈Ɩ܈bienƉ܈佴ミ菨Ƣ听ኲ厸ኲ Ǝ܌㺬ヸ佈ミ㹼ヸ菨ꗜヘ吀ኲꗜヘ Ƈ܈叜ኲ咸ኲ単ኲ Ɯ؈ż܈&#10;comúnſ܈佴ミ菨ƨ哜ኲ周ኲ Ŵ܌㺬ヸ佈ミ㹼ヸ菨ꗜヘ咰ኲꗜヘ ŭ܈和ኲ啨ኲ合ኲ Ƃ؈Ţ܈enť܈佴ミ菨ƫ喌ኲ唘ኲ Ś܌㺬ヸ佈ミ㹼ヸ菨ꗜヘ啠ኲꗜヘ œ܈唼ኲ嘘ኲ咸ኲ Ũ؈ň܈unaŋ܈佴ミ菨Ư嘼ኲ嗈ኲ ŀ܌㺬ヸ佈ミ㹼ヸ菨ꗜヘ嘐ኲ Ĺ܈嗬ኲ囘ኲ啨ኲľ܈sociedad؈œ؈ĳ܈佴ミ菨Ƹ囼ኲ嚈ኲ Ĩ܌㺬ヸ佈ミ㹼ヸ菨ꗜヘ囐ኲŁ؈ ġ܈嚬ኲ垘ኲ嘘ኲņ؈Ħ܈democráticaě܈佴ミ菨ǃ垼ኲ坈ኲ Đ܌㺬ヸ佈ミ㹼ヸ菨ꗜヘ垐ኲᷘ๫ ĉ܈坬ኲ塈ኲ囘ኲguieĎ܈”ġ؈ā܈佴ミ菨Ǆ塬ኲ埸ኲ Ć܌㺬ヸ佈ミ㹼ヸ菨ꗜヘ塀ኲğ؈ ǿ܈堜ኲ壸ኲ垘ኲĔ؈Ǵ܈.ė؈Ƿ܈佴ミ菨ǅ夜ኲ墨ኲ Ǭ܌㺬ヸ佈ミ㹼ヸ菨ꗜヘ声ኲą؈ ǥ܈壌ኲ婸ኲ塈ኲǺ؈ǚ܈&#10;ǽ؈ǝ܈,y1ǐ܈base Listǵ؈Ǖ܈.ladaǪ؈Ǌ܈podemosica،Ǐ܈&#10;2ǂ܈佴ミ菨嶌኿ቷǇ܈佴ミ菨姄ኲ娨ኲ Ƽ܌㺬ヸ佈ミ㹼ヸ菨ꗜヘ婰ኲ Ƶ܈婌ኲ嬸ኲ壸ኲken ƪ܈佴ミ菨Ⱄቷ嫨ኲƯ܈lo1 List Ƥ܌㺬ヸ佈ミ㹼ヸ菨ꗜヘ嬰ኲ Ɲ܈嬌ኲ寐ኲ婸ኲ佈ミ㹼ヸƒ܈佴ミ菨኱宀ኲ Ɨ܌㺬ヸ佈ミ㹼ヸ菨ꗜヘ寈ኲ ƀ܈室ኲ屨ኲ嬸ኲ佈ミ㹼ヸƅ܈佴ミ菨奌ኲ尘ኲ ź܌㺬ヸ佈ミ㹼ヸ菨ꗜヘ屠ኲ ų܈尼ኲ崀ኲ寐ኲ佈ミ㹼ヸŨ܈佴ミ菨头ኲ岰ኲ ŭ܌㺬ヸ佈ミ㹼ヸ菨ꗜヘ峸ኲ Ŧ܈峔ኲ嶘ኲ屨ኲ佈ミ㹼ヸś܈佴ミ菨妜ኲ嵈ኲ Ő܌㺬ヸ佈ミ㹼ヸ菨ꗜヘ嶐ኲig ŉ܈嵬ኲ帰ኲ崀ኲŎ܈佴ミ菨幔ኲ巠ኲ Ń܌㺬ヸ佈ミ㹼ヸ菨ꗜヘ帨ኲ①๫ ļ܈帄ኲ廰ኲ嶘ኲı܈afirmar佈ミ㹼ヸĶ܈佴ミ菨&quot;Ⲝቷ庠ኲ ī܌㺬ヸ佈ミ㹼ヸ菨ꗜヘ廨ኲdo Ĥ܈廄ኲ很ኲ帰ኲę܈佴ミ菨&amp;徬ኲ弸ኲ Ğ܌㺬ヸ佈ミ㹼ヸ菨ꗜヘ往ኲ▸๫ ė܈彜ኲ怸ኲ廰ኲacadČ܈elį؈ď܈佴ミ菨) 恜ኲ忨ኲ Ą܌㺬ヸ佈ミ㹼ヸ菨ꗜヘ怰ኲĝ؈ ǽ܈怌ኲ惸ኲ很ኲĒ؈ǲ܈ejercicioǷ܈佴ミ菨3愜ኲ您ኲ Ǭ܌㺬ヸ佈ミ㹼ヸ菨ꗜヘ惰ኲ✸๫ ǥ܈惌ኲ憨ኲ怸ኲǚ܈delǝ܈佴ミ菨7懌ኲ慘ኲ ǒ܌㺬ヸ佈ミ㹼ヸ菨ꗜヘ憠ኲ⟨๫ ǋ܈慼ኲ托ኲ惸ኲntraǀ܈&#10;poderǃ܈佴ミ菨=扼ኲ戈ኲ Ƹ܌㺬ヸ佈ミ㹼ヸ菨ꗜヘ扐ኲǑ؈ Ʊ܈戬ኲ挘ኲ憨ኲǖ؈ƶ܈sancionadorƫ܈佴ミ菨I挼ኲ拈ኲ Ơ܌㺬ヸ佈ミ㹼ヸ菨ꗜヘ挐ኲ⥘๫ ƙ܈括ኲ揈ኲ托ኲミ菨ƞ܈noƑ܈佴ミ菨L揬ኲ捸ኲ Ɩ܌㺬ヸ佈ミ㹼ヸ菨ꗜヘ揀ኲ⨈๫ Ə܈掜ኲ摸ኲ挘ኲtaƄ܈esƇ܈佴ミ菨O撜ኲ搨ኲ ż܌㺬ヸ佈ミ㹼ヸ菨ꗜヘ摰ኲ⪸๫ ŵ܈摌ኲ攸ኲ揈ኲnienŪ܈limitadoů܈佴ミ菨W敜ኲ擨ኲ Ť܌㺬ヸ佈ミ㹼ヸ菨ꗜヘ攰ኲ⭨๫ ŝ܈攌ኲ旨ኲ摸ኲॸ됈ॸŒ܈;ŕ܈佴ミ菨Y昌ኲ斘ኲ Ŋ܌㺬ヸ佈ミ㹼ヸ菨ꗜヘ无ኲⰨ๫ Ń܈於ኲ暘ኲ攸ኲaĸ܈puesĻ܈佴ミ菨^暼ኲ晈ኲ İ܌㺬ヸ佈ミ㹼ヸ菨ꗜヘ暐ኲⳘ๫ ĩ܈晬ኲ杈ኲ旨ኲtuacĮ܈siŁ؈ġ܈佴ミ菨a杬ኲ書ኲ Ħ܌㺬ヸ佈ミ㹼ヸ菨ꗜヘ杀ኲĿ؈ ğ܈朜ኲ柸ኲ暘ኲĴ؈Ĕ܈bien؈ė܈佴ミ菨f栜ኲ枨ኲ Č܌㺬ヸ佈ミ㹼ヸ菨ꗜヘ柰ኲ ą܈柌ኲ梨ኲ杈ኲǺ܈es,ǽ܈佴ミ菨i棌ኲ桘ኲ ǲ܌㺬ヸ佈ミ㹼ヸ菨ꗜヘ梠ኲ ǫ܈桼ኲ楨ኲ柸ኲǠ܈ciertosą؈ǥ܈佴ミ菨p榌ኲ椘ኲ ǚ܌㺬ヸ佈ミ㹼ヸ菨ꗜヘ楠ኲǳ؈ Ǔ܈椼ኲ樘ኲ梨ኲǨ؈ǈ܈elǫ؈ǋ܈佴ミ菨s樼ኲ槈ኲ ǀ܌㺬ヸ佈ミ㹼ヸ菨ꗜヘ樐ኲǙ؈ ƹ܈槬ኲ櫘ኲ楨ኲǞ؈ƾ܈Estadoミ菨Ƴ܈佴ミ菨z櫼ኲ檈ኲ ƨ܌㺬ヸ佈ミ㹼ヸ菨ꗜヘ櫐ኲㄘ๫ ơ܈檬ኲ殈ኲ樘ኲ릨ॸƦ܈&#10;tieneƙ܈佴ミ菨殬ኲ欸ኲ ƞ܌㺬ヸ佈ミ㹼ヸ菨ꗜヘ殀ኲ㇈๫ Ɨ܈歜ኲ永ኲ櫘ኲe멘ॸƌ܈elƏ܈佴ミ菨汜ኲ毨ኲ Ƅ܌㺬ヸ佈ミ㹼ヸ菨ꗜヘ氰ኲ㉸๫ Ž܈氌ኲ泸ኲ殈ኲistaŲ܈derecho菨ŷ܈佴ミ菨 洜ኲ沨ኲ Ŭ܌㺬ヸ佈ミ㹼ヸ菨ꗜヘ泰ኲ㌨๫ ť܈泌ኲ涸ኲ永ኲミ菨Ś܈subjetivo㒼๫㑈๫ş܈佴ミ菨淜ኲ浨ኲ Ŕ܌㺬ヸ佈ミ㹼ヸ菨ꗜヘ涰ኲte ō܈涌ኲ湸ኲ泸ኲ̢ł܈público㕼๫㔈๫Ň܈佴ミ菨溜ኲ渨ኲ ļ܌㺬ヸ佈ミ㹼ヸ菨ꗜヘ湰ኲƐ؈ ĵ܈湌ኲ漨ኲ涸ኲ佴ミ菨Ī܈de๫㖸๫ĭ܈佴ミ菨 潌ኲ滘ኲ Ģ܌㺬ヸ佈ミ㹼ヸ菨ꗜヘ漠ኲos ě܈滼ኲ濨ኲ湸ኲ̳Đ܈imponer㛬๫㙸๫ĕ܈佴ミ菨¨瀌ኲ澘ኲ Ċ܌㺬ヸ佈ミ㹼ヸ菨ꗜヘ濠ኲŮ؈ ă܈澼ኲ炘ኲ漨ኲ佴ミ菨Ǹ܈&#10;penasǻ܈佴ミ菨®炼ኲ灈ኲ ǰ܌㺬ヸ佈ミ㹼ヸ菨ꗜヘ炐ኲ ǩ܈灬ኲ煈ኲ濨ኲ佴ミ菨Ǯ܈y㡌๫㟘๫ǡ܈佴ミ菨°煬ኲ烸ኲ Ǧ܌㺬ヸ佈ミ㹼ヸ菨ꗜヘ煀ኲ ǟ܈焜ኲ爈ኲ炘ኲaǔ܈medidas㤌๫㢘๫ǉ܈佴ミ菨¸爬ኲ熸ኲ ǎ܌㺬ヸ佈ミ㹼ヸ菨ꗜヘ爀ኲ Ǉ܈燜ኲ犸ኲ煈ኲ佴ミ菨Ƽ܈de๫㥈๫ƿ܈佴ミ菨» 狜ኲ牨ኲ ƴ܌㺬ヸ佈ミ㹼ヸ菨ꗜヘ犰ኲ ƭ܈犌ኲ獸ኲ爈ኲ佴ミ菨Ƣ܈seguridad㺬ヸƧ܈佴ミ菨Å玜ኲ猨ኲ Ɯ܌㺬ヸ佈ミ㹼ヸ菨ꗜヘ獰ኲco ƕ܈獌ኲ琨ኲ犸ኲ¿Ɗ܈alヸƍ܈佴ミ菨È瑌ኲ珘ኲ Ƃ܌㺬ヸ佈ミ㹼ヸ菨ꗜヘ琠ኲun Ż܈珼ኲ瓨ኲ獸ኲÂŰ܈sujetoミ㹼ヸ菨ŵ܈佴ミ菨Ï甌ኲ璘ኲ Ū܌㺬ヸ佈ミ㹼ヸ菨ꗜヘ瓠ኲƃ؈ ţ܈璼ኲ疘ኲ琨ኲ Ÿ،Ř܈queś܈佴ミ菨Ó疼ኲ畈ኲ Ő܌㺬ヸ佈ミ㹼ヸ菨ꗜヘ疐ኲic ŉ܈畬ኲ癘ኲ瓨ኲÑŎ܈lesione㹼ヸ菨Ń܈佴ミ菨Û發ኲ瘈ኲ ĸ܌㺬ヸ佈ミ㹼ヸ菨ꗜヘ癐ኲő؈ ı܈瘬ኲ眈ኲ疘ኲ Ŗ،Ķ܈o菨ĩ܈佴ミ菨Ý眬ኲ皸ኲ Į܌㺬ヸ佈ミ㹼ヸ菨ꗜヘ眀ኲŇ؈ ħ܈盜ኲ瞸ኲ癘ኲ ļ،Ĝ܈&#10;pongağ܈佴ミ菨ã矜ኲ睨ኲ Ĕ܌㺬ヸ佈ミ㹼ヸ菨ꗜヘ瞰ኲĭ؈ č܈瞌ኲ硨ኲ眈ኲ Ģ،Ă܈eną܈佴ミ菨æ碌ኲ砘ኲ Ǻ܌㺬ヸ佈ミ㹼ヸ菨ꗜヘ硠ኲse ǳ܈砼ኲ礨ኲ瞸ኲèǨ܈peligro㹼ヸ菨ǭ܈佴ミ菨î祌ኲ磘ኲ Ǣ܌㺬ヸ佈ミ㹼ヸ菨ꗜヘ礠ኲǻ؈ Ǜ܈磼ኲ秘ኲ硨ኲ ǰ،ǐ܈unǓ܈佴ミ菨ñ秼ኲ禈ኲ ǈ܌㺬ヸ佈ミ㹼ヸ菨ꗜヘ秐ኲǡ؈ ǁ܈禬ኲ窈ኲ礨ኲ Ǧ،ǆ܈bienƹ܈佴ミ菨ö窬ኲ稸ኲ ƾ܌㺬ヸ佈ミ㹼ヸ菨ꗜヘ窀ኲ Ʒ܈穜ኲ筈ኲ秘ኲøƬ܈jurídicoヸ菨ơ܈佴ミ菨ÿ筬ኲ竸ኲ Ʀ܌㺬ヸ佈ミ㹼ヸ菨ꗜヘ筀ኲƿ؈ Ɵ܈笜ኲ篸ኲ窈ኲ ƴ،Ɣ܈&#10;penalƗ܈佴ミ菨Ą簜ኲ箨ኲ ƌ܌㺬ヸ佈ミ㹼ヸ菨ꗜヘ篰ኲƥ؈ ƅ܈篌ኲ粨ኲ筈ኲ ƚ،ź܈,菨Ž܈佴ミ菨Ć糌ኲ籘ኲ Ų܌㺬ヸ佈ミ㹼ヸ菨ꗜヘ粠ኲ ū܈籼ኲ絘ኲ篸ኲćŠ܈elヸţ܈佴ミ菨ĉ絼ኲ紈ኲ Ř܌㺬ヸ佈ミ㹼ヸ菨ꗜヘ結ኲno ő܈紬ኲ縈ኲ粨ኲĊŖ܈&#10;mismoŉ܈佴ミ菨ď縬ኲ綸ኲ Ŏ܌㺬ヸ佈ミ㹼ヸ菨ꗜヘ縀ኲde Ň܈緜ኲ纸ኲ絘ኲďļ܈noヸĿ܈佴ミ菨Ē络ኲ繨ኲ Ĵ܌㺬ヸ佈ミ㹼ヸ菨ꗜヘ纰ኲda ĭ܈續ኲ罨ኲ縈ኲēĢ܈&#10;puedeĥ܈佴ミ菨Ę羌ኲ缘ኲ Ě܌㺬ヸ佈ミ㹼ヸ菨ꗜヘ罠ኲni ē܈缼ኲ耨ኲ纸ኲ佴ミ菨Ĉ܈hacerloĬ،㺬ヸč܈佴ミ菨Ġ职ኲ翘ኲ Ă܌㺬ヸ佈ミ㹼ヸ菨ꗜヘ耠ኲre ǻ܈翼ኲ胘ኲ罨ኲ佴ミ菨ǰ܈de๫䝨๫ǳ܈佴ミ菨ģ胼ኲ肈ኲ Ǩ܌㺬ヸ佈ミ㹼ヸ菨ꗜヘ胐ኲ ǡ܈肬ኲ膈ኲ耨ኲ佴ミ菨Ǧ܈&#10;formaǙ܈佴ミ菨ĩ&#10;膬ኲ脸ኲ Ǟ܌㺬ヸ佈ミ㹼ヸ菨ꗜヘ膀ኲ Ǘ܈腜ኲ艈ኲ胘ኲ佴ミ菨ǌ܈arbitrariaヸǁ܈佴ミ菨Ĵ艬ኲ臸ኲ ǆ܌㺬ヸ佈ミ㹼ヸ菨ꗜヘ艀ኲel ƿ܈舜ኲ苸ኲ膈ኲĲƴ܈e㺬ヸƷ܈佴ミ菨Ķ 茜ኲ芨ኲ Ƭ܌㺬ヸ佈ミ㹼ヸ菨ꗜヘ苰ኲju ƥ܈苌ኲ莸ኲ艈ኲķƚ܈ilimitada菨Ɵ܈佴ミ菨Ŀ菜ኲ荨ኲ Ɣ܌㺬ヸ佈ミ㹼ヸ菨ꗜヘ莰ኲ ƍ܈莌ኲ葨ኲ苸ኲŀƂ܈,㺬ヸƅ܈佴ミ菨Ł蒌ኲ萘ኲ ź܌㺬ヸ佈ミ㹼ヸ菨ꗜヘ葠ኲso ų܈萼ኲ蔨ኲ莸ኲņŨ܈porqueミ㹼ヸ菨ŭ܈佴ミ菨ň蕌ኲ蓘ኲ Ţ܌㺬ヸ佈ミ㹼ヸ菨ꗜヘ蔠ኲŻ؈ ś܈蓼ኲ藘ኲ葨ኲ Ű،Ő܈esaœ܈佴ミ菨Ō藼ኲ薈ኲ ň܌㺬ヸ佈ミ㹼ヸ菨ꗜヘ藐ኲš؈ Ł܈薬ኲ蚘ኲ蔨ኲ Ŧ،ņ܈facultadヘ䵀๫Ļ܈佴ミ菨ŕ蚼ኲ虈ኲ İ܌㺬ヸ佈ミ㹼ヸ菨ꗜヘ蚐ኲŉ؈ ĩ܈虬ኲ蝈ኲ藘ኲ Ŏ،Į܈estaġ܈佴ミ菨Ś蝬ኲ蛸ኲ Ħ܌㺬ヸ佈ミ㹼ヸ菨ꗜヘ蝀ኲĿ؈ ğ܈蜜ኲ蠈ኲ蚘ኲ Ĵ،Ĕ܈limitadaヘ亰๫ĉ܈佴ミ菨ţ蠬ኲ螸ኲ Ď܌㺬ヸ佈ミ㹼ヸ菨ꗜヘ蠀ኲ ć܈蟜ኲ袸ኲ蝈ኲ佈ミ㹼ヸǼ܈por你๫ǿ܈佴ミ菨ŧ補ኲ表ኲ Ǵ܌㺬ヸ佈ミ㹼ヸ菨ꗜヘ袰ኲ ǭ܈袌ኲ襨ኲ蠈ኲ佈ミ㹼ヸǢ܈una倐๫ǥ܈佴ミ菨ū覌ኲ褘ኲ ǚ܌㺬ヸ佈ミ㹼ヸ菨ꗜヘ襠ኲ Ǔ܈褼ኲ記ኲ袸ኲ佈ミ㹼ヸǈ܈&#10;serieǋ܈佴ミ菨ű証ኲ览ኲ ǀ܌㺬ヸ佈ミ㹼ヸ菨ꗜヘ訐ኲ ƹ܈觬ኲ諈ኲ襨ኲ佈ミ㹼ヸƾ܈de兰๫Ʊ܈佴ミ菨Ŵ諬ኲ詸ኲ ƶ܌㺬ヸ佈ミ㹼ヸ菨ꗜヘ諀ኲ Ư܈誜ኲ讈ኲ記ኲ佈ミ㹼ヸƤ܈derechosƙ܈佴ミ菨Ž讬ኲ謸ኲ ƞ܌㺬ヸ佈ミ㹼ヸ菨ꗜヘ讀ኲ&#10; Ɨ܈譜ኲ豈ኲ諈ኲƬ؈ƌ܈reconocidosơ؈Ɓ܈佴ミ菨Ɖ豬ኲ诸ኲ Ɔ܌㺬ヸ佈ミ㹼ヸ菨ꗜヘ豀ኲ午๫ ſ܈谜ኲ賸ኲ讈ኲꗜヘŴ܈aŷ܈佴ミ菨Ƌ贜ኲ貨ኲ Ŭ܌㺬ヸ佈ミ㹼ヸ菨ꗜヘ賰ኲ㹼ヸ ť܈賌ኲ趨ኲ豈ኲŚ܈las各๫ŝ܈佴ミ菨Ə跌ኲ赘ኲ Œ܌㺬ヸ佈ミ㹼ヸ菨ꗜヘ趠ኲ哀๫ ŋ܈赼ኲ蹨ኲ賸ኲ咜๫ŀ܈personas؈佴ミ菨Ņ܈佴ミ菨Ƙ躌ኲ踘ኲ ĺ܌㺬ヸ佈ミ㹼ヸ菨ꗜヘ蹠ኲ唴๫ ĳ܈踼ኲ輘ኲ趨ኲ佴ミ菨Ĩ܈que喨๫ī܈佴ミ菨Ɯ輼ኲ軈ኲ Ġ܌㺬ヸ佈ミ㹼ヸ菨ꗜヘ輐ኲ ę܈軬ኲ还ኲ蹨ኲ嚴๫噀๫Ğ܈tienenꗜヘē܈佴ミ菨ƣ迼ኲ辈ኲ Ĉ܌㺬ヸ佈ミ㹼ヸ菨ꗜヘ运ኲr ā܈辬ኲ邈ኲ輘ኲ劔๫圀๫Ć܈laミ㹼ヸǹ܈佴ミ菨Ʀ邬ኲ逸ኲ Ǿ܌㺬ヸ佈ミ㹼ヸ菨ꗜヘ"/>
        </w:smartTagPr>
        <w:r w:rsidRPr="009217A6">
          <w:rPr>
            <w:rFonts w:ascii="Arial" w:hAnsi="Arial" w:cs="Arial"/>
            <w:sz w:val="22"/>
            <w:lang w:val="es-MX"/>
          </w:rPr>
          <w:t>la Declaración Universal</w:t>
        </w:r>
      </w:smartTag>
      <w:r w:rsidRPr="009217A6">
        <w:rPr>
          <w:rFonts w:ascii="Arial" w:hAnsi="Arial" w:cs="Arial"/>
          <w:sz w:val="22"/>
          <w:lang w:val="es-MX"/>
        </w:rPr>
        <w:t xml:space="preserve"> de Derechos Humanos y el Art. XXVI de </w:t>
      </w:r>
      <w:smartTag w:uri="urn:schemas-microsoft-com:office:smarttags" w:element="PersonName">
        <w:smartTagPr>
          <w:attr w:name="ProductID" w:val="la Declaraci￳n Americana"/>
        </w:smartTagPr>
        <w:r w:rsidRPr="009217A6">
          <w:rPr>
            <w:rFonts w:ascii="Arial" w:hAnsi="Arial" w:cs="Arial"/>
            <w:sz w:val="22"/>
            <w:lang w:val="es-MX"/>
          </w:rPr>
          <w:t>la Declaración Americana</w:t>
        </w:r>
      </w:smartTag>
      <w:r w:rsidRPr="009217A6">
        <w:rPr>
          <w:rFonts w:ascii="Arial" w:hAnsi="Arial" w:cs="Arial"/>
          <w:sz w:val="22"/>
          <w:lang w:val="es-MX"/>
        </w:rPr>
        <w:t xml:space="preserve"> de Derechos y Deberes del Hombre. De las exigencias mínimas contempladas en la normativa antes mencionada, incluimos entre otras las siguientes: </w:t>
      </w:r>
    </w:p>
    <w:p w:rsidR="0093314D" w:rsidRPr="009217A6" w:rsidRDefault="0093314D" w:rsidP="0093314D">
      <w:pPr>
        <w:spacing w:line="360" w:lineRule="auto"/>
        <w:ind w:firstLine="360"/>
        <w:jc w:val="both"/>
        <w:rPr>
          <w:rFonts w:ascii="Arial" w:hAnsi="Arial" w:cs="Arial"/>
          <w:sz w:val="22"/>
          <w:lang w:val="es-MX"/>
        </w:rPr>
      </w:pPr>
    </w:p>
    <w:p w:rsidR="0093314D" w:rsidRPr="009217A6" w:rsidRDefault="0093314D" w:rsidP="009442AA">
      <w:pPr>
        <w:numPr>
          <w:ilvl w:val="0"/>
          <w:numId w:val="3"/>
        </w:numPr>
        <w:spacing w:line="360" w:lineRule="auto"/>
        <w:jc w:val="both"/>
        <w:rPr>
          <w:rFonts w:ascii="Arial" w:hAnsi="Arial" w:cs="Arial"/>
          <w:sz w:val="22"/>
          <w:lang w:val="es-MX"/>
        </w:rPr>
      </w:pPr>
      <w:r w:rsidRPr="009217A6">
        <w:rPr>
          <w:rFonts w:ascii="Arial" w:hAnsi="Arial" w:cs="Arial"/>
          <w:sz w:val="22"/>
          <w:lang w:val="es-MX"/>
        </w:rPr>
        <w:t>La presunción de inocencia;</w:t>
      </w:r>
    </w:p>
    <w:p w:rsidR="0093314D" w:rsidRPr="009217A6" w:rsidRDefault="0093314D" w:rsidP="009442AA">
      <w:pPr>
        <w:numPr>
          <w:ilvl w:val="0"/>
          <w:numId w:val="3"/>
        </w:numPr>
        <w:spacing w:line="360" w:lineRule="auto"/>
        <w:jc w:val="both"/>
        <w:rPr>
          <w:rFonts w:ascii="Arial" w:hAnsi="Arial" w:cs="Arial"/>
          <w:sz w:val="22"/>
          <w:lang w:val="es-MX"/>
        </w:rPr>
      </w:pPr>
      <w:r w:rsidRPr="009217A6">
        <w:rPr>
          <w:rFonts w:ascii="Arial" w:hAnsi="Arial" w:cs="Arial"/>
          <w:sz w:val="22"/>
          <w:lang w:val="es-MX"/>
        </w:rPr>
        <w:t>Inviolabilidad de la defensa;</w:t>
      </w:r>
    </w:p>
    <w:p w:rsidR="0093314D" w:rsidRPr="009217A6" w:rsidRDefault="0093314D" w:rsidP="009442AA">
      <w:pPr>
        <w:numPr>
          <w:ilvl w:val="0"/>
          <w:numId w:val="3"/>
        </w:numPr>
        <w:spacing w:line="360" w:lineRule="auto"/>
        <w:jc w:val="both"/>
        <w:rPr>
          <w:rFonts w:ascii="Arial" w:hAnsi="Arial" w:cs="Arial"/>
          <w:sz w:val="22"/>
          <w:lang w:val="es-MX"/>
        </w:rPr>
      </w:pPr>
      <w:r w:rsidRPr="009217A6">
        <w:rPr>
          <w:rFonts w:ascii="Arial" w:hAnsi="Arial" w:cs="Arial"/>
          <w:sz w:val="22"/>
          <w:lang w:val="es-MX"/>
        </w:rPr>
        <w:t>Juez Natural;</w:t>
      </w:r>
    </w:p>
    <w:p w:rsidR="0093314D" w:rsidRPr="009217A6" w:rsidRDefault="0093314D" w:rsidP="009442AA">
      <w:pPr>
        <w:numPr>
          <w:ilvl w:val="0"/>
          <w:numId w:val="3"/>
        </w:numPr>
        <w:spacing w:line="360" w:lineRule="auto"/>
        <w:jc w:val="both"/>
        <w:rPr>
          <w:rFonts w:ascii="Arial" w:hAnsi="Arial" w:cs="Arial"/>
          <w:sz w:val="22"/>
          <w:lang w:val="es-MX"/>
        </w:rPr>
      </w:pPr>
      <w:r w:rsidRPr="009217A6">
        <w:rPr>
          <w:rFonts w:ascii="Arial" w:hAnsi="Arial" w:cs="Arial"/>
          <w:sz w:val="22"/>
          <w:lang w:val="es-MX"/>
        </w:rPr>
        <w:t>Única persecución;</w:t>
      </w:r>
    </w:p>
    <w:p w:rsidR="0093314D" w:rsidRPr="009217A6" w:rsidRDefault="0093314D" w:rsidP="009442AA">
      <w:pPr>
        <w:numPr>
          <w:ilvl w:val="0"/>
          <w:numId w:val="3"/>
        </w:numPr>
        <w:spacing w:line="360" w:lineRule="auto"/>
        <w:jc w:val="both"/>
        <w:rPr>
          <w:rFonts w:ascii="Arial" w:hAnsi="Arial" w:cs="Arial"/>
          <w:sz w:val="22"/>
          <w:lang w:val="es-MX"/>
        </w:rPr>
      </w:pPr>
      <w:r w:rsidRPr="009217A6">
        <w:rPr>
          <w:rFonts w:ascii="Arial" w:hAnsi="Arial" w:cs="Arial"/>
          <w:sz w:val="22"/>
          <w:lang w:val="es-MX"/>
        </w:rPr>
        <w:t>Igualdad;</w:t>
      </w:r>
    </w:p>
    <w:p w:rsidR="0093314D" w:rsidRPr="009217A6" w:rsidRDefault="0093314D" w:rsidP="009442AA">
      <w:pPr>
        <w:numPr>
          <w:ilvl w:val="0"/>
          <w:numId w:val="3"/>
        </w:numPr>
        <w:spacing w:line="360" w:lineRule="auto"/>
        <w:jc w:val="both"/>
        <w:rPr>
          <w:rFonts w:ascii="Arial" w:hAnsi="Arial" w:cs="Arial"/>
          <w:sz w:val="22"/>
          <w:lang w:val="es-MX"/>
        </w:rPr>
      </w:pPr>
      <w:r w:rsidRPr="009217A6">
        <w:rPr>
          <w:rFonts w:ascii="Arial" w:hAnsi="Arial" w:cs="Arial"/>
          <w:sz w:val="22"/>
          <w:lang w:val="es-MX"/>
        </w:rPr>
        <w:t>Publicidad;</w:t>
      </w:r>
    </w:p>
    <w:p w:rsidR="0093314D" w:rsidRPr="009217A6" w:rsidRDefault="0093314D" w:rsidP="009442AA">
      <w:pPr>
        <w:numPr>
          <w:ilvl w:val="0"/>
          <w:numId w:val="3"/>
        </w:numPr>
        <w:spacing w:line="360" w:lineRule="auto"/>
        <w:jc w:val="both"/>
        <w:rPr>
          <w:rFonts w:ascii="Arial" w:hAnsi="Arial" w:cs="Arial"/>
          <w:sz w:val="22"/>
          <w:lang w:val="es-MX"/>
        </w:rPr>
      </w:pPr>
      <w:r w:rsidRPr="009217A6">
        <w:rPr>
          <w:rFonts w:ascii="Arial" w:hAnsi="Arial" w:cs="Arial"/>
          <w:sz w:val="22"/>
          <w:lang w:val="es-MX"/>
        </w:rPr>
        <w:t>Oralidad;</w:t>
      </w:r>
    </w:p>
    <w:p w:rsidR="0093314D" w:rsidRPr="009217A6" w:rsidRDefault="0093314D" w:rsidP="009442AA">
      <w:pPr>
        <w:numPr>
          <w:ilvl w:val="0"/>
          <w:numId w:val="3"/>
        </w:numPr>
        <w:spacing w:line="360" w:lineRule="auto"/>
        <w:jc w:val="both"/>
        <w:rPr>
          <w:rFonts w:ascii="Arial" w:hAnsi="Arial" w:cs="Arial"/>
          <w:sz w:val="22"/>
          <w:lang w:val="es-MX"/>
        </w:rPr>
      </w:pPr>
      <w:r w:rsidRPr="009217A6">
        <w:rPr>
          <w:rFonts w:ascii="Arial" w:hAnsi="Arial" w:cs="Arial"/>
          <w:sz w:val="22"/>
          <w:lang w:val="es-MX"/>
        </w:rPr>
        <w:t>Contradicción</w:t>
      </w:r>
    </w:p>
    <w:p w:rsidR="0093314D" w:rsidRPr="009217A6" w:rsidRDefault="0093314D" w:rsidP="0093314D">
      <w:pPr>
        <w:spacing w:line="360" w:lineRule="auto"/>
        <w:ind w:left="180" w:firstLine="360"/>
        <w:jc w:val="both"/>
        <w:rPr>
          <w:rFonts w:ascii="Arial" w:hAnsi="Arial" w:cs="Arial"/>
          <w:sz w:val="22"/>
          <w:lang w:val="es-MX"/>
        </w:rPr>
      </w:pPr>
    </w:p>
    <w:p w:rsidR="0093314D" w:rsidRPr="009217A6" w:rsidRDefault="0093314D" w:rsidP="0093314D">
      <w:pPr>
        <w:spacing w:line="360" w:lineRule="auto"/>
        <w:ind w:left="180" w:firstLine="360"/>
        <w:jc w:val="both"/>
        <w:rPr>
          <w:rFonts w:ascii="Arial" w:hAnsi="Arial" w:cs="Arial"/>
          <w:sz w:val="22"/>
          <w:lang w:val="es-MX"/>
        </w:rPr>
      </w:pPr>
      <w:r w:rsidRPr="009217A6">
        <w:rPr>
          <w:rFonts w:ascii="Arial" w:hAnsi="Arial" w:cs="Arial"/>
          <w:sz w:val="22"/>
          <w:lang w:val="es-MX"/>
        </w:rPr>
        <w:t xml:space="preserve">Los anteriores principios, garantías y derecho son parte de lo que constituye el núcleo esencial del debido proceso constitucionalmente configurado; criterio compartido por </w:t>
      </w:r>
      <w:smartTag w:uri="urn:schemas-microsoft-com:office:smarttags" w:element="PersonName">
        <w:smartTagPr>
          <w:attr w:name="ProductID" w:val="la Sala"/>
        </w:smartTagPr>
        <w:r w:rsidRPr="009217A6">
          <w:rPr>
            <w:rFonts w:ascii="Arial" w:hAnsi="Arial" w:cs="Arial"/>
            <w:sz w:val="22"/>
            <w:lang w:val="es-MX"/>
          </w:rPr>
          <w:t>la Sala</w:t>
        </w:r>
      </w:smartTag>
      <w:r w:rsidRPr="009217A6">
        <w:rPr>
          <w:rFonts w:ascii="Arial" w:hAnsi="Arial" w:cs="Arial"/>
          <w:sz w:val="22"/>
          <w:lang w:val="es-MX"/>
        </w:rPr>
        <w:t xml:space="preserve"> de lo Constitucional de </w:t>
      </w:r>
      <w:smartTag w:uri="urn:schemas-microsoft-com:office:smarttags" w:element="PersonName">
        <w:smartTagPr>
          <w:attr w:name="ProductID" w:val="la Corte Suprema"/>
        </w:smartTagPr>
        <w:r w:rsidRPr="009217A6">
          <w:rPr>
            <w:rFonts w:ascii="Arial" w:hAnsi="Arial" w:cs="Arial"/>
            <w:sz w:val="22"/>
            <w:lang w:val="es-MX"/>
          </w:rPr>
          <w:t>la Corte Suprema</w:t>
        </w:r>
      </w:smartTag>
      <w:r w:rsidRPr="009217A6">
        <w:rPr>
          <w:rFonts w:ascii="Arial" w:hAnsi="Arial" w:cs="Arial"/>
          <w:sz w:val="22"/>
          <w:lang w:val="es-MX"/>
        </w:rPr>
        <w:t xml:space="preserve"> de Justicia; de nuestro país la cual sostiene que: “En relación al debido proceso, es el caso de mencionar que por tener este, conexión con el principio de legalidad y con la presunción de inocencia –entre otras- (el subrayado es mío) no se puede referir a </w:t>
      </w:r>
      <w:proofErr w:type="spellStart"/>
      <w:r w:rsidRPr="009217A6">
        <w:rPr>
          <w:rFonts w:ascii="Arial" w:hAnsi="Arial" w:cs="Arial"/>
          <w:sz w:val="22"/>
          <w:lang w:val="es-MX"/>
        </w:rPr>
        <w:t>el</w:t>
      </w:r>
      <w:proofErr w:type="spellEnd"/>
      <w:r w:rsidRPr="009217A6">
        <w:rPr>
          <w:rFonts w:ascii="Arial" w:hAnsi="Arial" w:cs="Arial"/>
          <w:sz w:val="22"/>
          <w:lang w:val="es-MX"/>
        </w:rPr>
        <w:t xml:space="preserve"> en forma aislada, pues esa conexión con el resto de garantías, es lo que hace que el proceso este constitucionalmente configurado”.</w:t>
      </w:r>
      <w:r w:rsidRPr="009217A6">
        <w:rPr>
          <w:rStyle w:val="Refdenotaalpie"/>
          <w:rFonts w:ascii="Arial" w:hAnsi="Arial" w:cs="Arial"/>
          <w:sz w:val="22"/>
          <w:lang w:val="es-MX"/>
        </w:rPr>
        <w:footnoteReference w:id="5"/>
      </w:r>
      <w:r w:rsidRPr="009217A6">
        <w:rPr>
          <w:rFonts w:ascii="Arial" w:hAnsi="Arial" w:cs="Arial"/>
          <w:sz w:val="22"/>
          <w:lang w:val="es-MX"/>
        </w:rPr>
        <w:t xml:space="preserve"> </w:t>
      </w:r>
    </w:p>
    <w:p w:rsidR="0093314D" w:rsidRPr="009217A6" w:rsidRDefault="0093314D" w:rsidP="0093314D">
      <w:pPr>
        <w:spacing w:line="360" w:lineRule="auto"/>
        <w:ind w:left="180" w:firstLine="360"/>
        <w:jc w:val="both"/>
        <w:rPr>
          <w:rFonts w:ascii="Arial" w:hAnsi="Arial" w:cs="Arial"/>
          <w:sz w:val="22"/>
          <w:lang w:val="es-MX"/>
        </w:rPr>
      </w:pPr>
    </w:p>
    <w:p w:rsidR="0093314D" w:rsidRPr="009217A6" w:rsidRDefault="0093314D" w:rsidP="0093314D">
      <w:pPr>
        <w:spacing w:line="360" w:lineRule="auto"/>
        <w:ind w:left="180" w:firstLine="360"/>
        <w:jc w:val="both"/>
        <w:rPr>
          <w:rFonts w:ascii="Arial" w:hAnsi="Arial" w:cs="Arial"/>
          <w:sz w:val="22"/>
          <w:lang w:val="es-MX"/>
        </w:rPr>
      </w:pPr>
      <w:r w:rsidRPr="009217A6">
        <w:rPr>
          <w:rFonts w:ascii="Arial" w:hAnsi="Arial" w:cs="Arial"/>
          <w:sz w:val="22"/>
          <w:lang w:val="es-MX"/>
        </w:rPr>
        <w:t>El cumplimiento de “Estos requisitos no solo convierten al proceso en “legal” o “debido” sino y fundamentalmente en “justo”, permitiendo que el Estado ejerza su pretensión punitiva y que el imputado pueda defenderse”.</w:t>
      </w:r>
      <w:r w:rsidRPr="009217A6">
        <w:rPr>
          <w:rStyle w:val="Refdenotaalpie"/>
          <w:rFonts w:ascii="Arial" w:hAnsi="Arial" w:cs="Arial"/>
          <w:sz w:val="22"/>
          <w:lang w:val="es-MX"/>
        </w:rPr>
        <w:footnoteReference w:id="6"/>
      </w:r>
    </w:p>
    <w:p w:rsidR="0093314D" w:rsidRPr="009217A6" w:rsidRDefault="0093314D" w:rsidP="0093314D">
      <w:pPr>
        <w:spacing w:line="360" w:lineRule="auto"/>
        <w:ind w:left="180" w:firstLine="360"/>
        <w:jc w:val="both"/>
        <w:rPr>
          <w:rFonts w:ascii="Arial" w:hAnsi="Arial" w:cs="Arial"/>
          <w:sz w:val="22"/>
          <w:lang w:val="es-MX"/>
        </w:rPr>
      </w:pPr>
    </w:p>
    <w:p w:rsidR="0093314D" w:rsidRPr="009217A6" w:rsidRDefault="0093314D" w:rsidP="0093314D">
      <w:pPr>
        <w:spacing w:line="360" w:lineRule="auto"/>
        <w:ind w:left="180" w:firstLine="360"/>
        <w:jc w:val="both"/>
        <w:rPr>
          <w:rFonts w:ascii="Arial" w:hAnsi="Arial" w:cs="Arial"/>
          <w:sz w:val="22"/>
          <w:lang w:val="es-MX"/>
        </w:rPr>
      </w:pPr>
      <w:r w:rsidRPr="009217A6">
        <w:rPr>
          <w:rFonts w:ascii="Arial" w:hAnsi="Arial" w:cs="Arial"/>
          <w:sz w:val="22"/>
          <w:lang w:val="es-MX"/>
        </w:rPr>
        <w:t>Lo anterior nos indica, que al existir en todo proceso penal una confrontación de pretensiones entre el Estado y un particular, y entre particulares, las mismas deben dilucidarse en un proceso que no sea únicamente debido, es decir conforme a la constitución y código procesal penal; sino además justo, es decir; que busque la consecución de la principal finalidad del proceso penal, que es la búsqueda de la verdad real.</w:t>
      </w:r>
    </w:p>
    <w:p w:rsidR="0093314D" w:rsidRPr="009217A6" w:rsidRDefault="0093314D" w:rsidP="0093314D">
      <w:pPr>
        <w:spacing w:line="360" w:lineRule="auto"/>
        <w:ind w:left="180" w:firstLine="360"/>
        <w:jc w:val="both"/>
        <w:rPr>
          <w:rFonts w:ascii="Arial" w:hAnsi="Arial" w:cs="Arial"/>
          <w:sz w:val="22"/>
          <w:lang w:val="es-MX"/>
        </w:rPr>
      </w:pPr>
      <w:r w:rsidRPr="009217A6">
        <w:rPr>
          <w:rFonts w:ascii="Arial" w:hAnsi="Arial" w:cs="Arial"/>
          <w:sz w:val="22"/>
          <w:lang w:val="es-MX"/>
        </w:rPr>
        <w:lastRenderedPageBreak/>
        <w:t xml:space="preserve">Ahora bien, es necesario aclarar que ninguna de los derechos en conflicto, prevalece sobre el otro, pues ningún derecho es absoluto, sino por el contrario son relativos. Esta limitante esta regulada en el  Art. 32.2 de </w:t>
      </w:r>
      <w:smartTag w:uri="urn:schemas-microsoft-com:office:smarttags" w:element="PersonName">
        <w:smartTagPr>
          <w:attr w:name="ProductID" w:val="la Convenci￳n Americana"/>
        </w:smartTagPr>
        <w:r w:rsidRPr="009217A6">
          <w:rPr>
            <w:rFonts w:ascii="Arial" w:hAnsi="Arial" w:cs="Arial"/>
            <w:sz w:val="22"/>
            <w:lang w:val="es-MX"/>
          </w:rPr>
          <w:t>la Convención Americana</w:t>
        </w:r>
      </w:smartTag>
      <w:r w:rsidRPr="009217A6">
        <w:rPr>
          <w:rFonts w:ascii="Arial" w:hAnsi="Arial" w:cs="Arial"/>
          <w:sz w:val="22"/>
          <w:lang w:val="es-MX"/>
        </w:rPr>
        <w:t xml:space="preserve"> de Derecho Humanos, que reza así: “Los derechos de cada persona están limitados por los derechos de los demás, por la seguridad de todos y por las justas exigencias del bien común en una sociedad democrática”.</w:t>
      </w:r>
    </w:p>
    <w:p w:rsidR="0093314D" w:rsidRPr="009217A6" w:rsidRDefault="0093314D" w:rsidP="0093314D">
      <w:pPr>
        <w:spacing w:line="360" w:lineRule="auto"/>
        <w:ind w:left="180" w:firstLine="360"/>
        <w:jc w:val="both"/>
        <w:rPr>
          <w:rFonts w:ascii="Arial" w:hAnsi="Arial" w:cs="Arial"/>
          <w:sz w:val="22"/>
          <w:lang w:val="es-MX"/>
        </w:rPr>
      </w:pPr>
    </w:p>
    <w:p w:rsidR="0093314D" w:rsidRPr="009217A6" w:rsidRDefault="0093314D" w:rsidP="0093314D">
      <w:pPr>
        <w:spacing w:line="360" w:lineRule="auto"/>
        <w:ind w:left="180" w:firstLine="360"/>
        <w:jc w:val="both"/>
        <w:rPr>
          <w:rFonts w:ascii="Arial" w:hAnsi="Arial" w:cs="Arial"/>
          <w:sz w:val="22"/>
          <w:lang w:val="es-MX"/>
        </w:rPr>
      </w:pPr>
      <w:r w:rsidRPr="009217A6">
        <w:rPr>
          <w:rFonts w:ascii="Arial" w:hAnsi="Arial" w:cs="Arial"/>
          <w:sz w:val="22"/>
          <w:lang w:val="es-MX"/>
        </w:rPr>
        <w:t>Sobre esta base, podemos afirmar que el ejercicio del poder sancionador no es limitado; pues si bien es cierto el Estado tiene el derecho subjetivo público de imponer penas y medidas de seguridad al sujeto que lesione o ponga en peligro un bien jurídico penal, el mismo no puede hacerlo de forma arbitraria e ilimitada, porque esa facultad esta limitada por una serie de derechos reconocidos a las personas que tienen la calidad de imputado, uno de esos derechos es el establecimiento previo de un proceso para la restricción de sus derechos y la realización del mismo conforme al diseño constitucional de proceso penal; es decir no cualquier proceso, sino un debido proceso.</w:t>
      </w:r>
    </w:p>
    <w:p w:rsidR="0093314D" w:rsidRPr="009217A6" w:rsidRDefault="0093314D" w:rsidP="0093314D">
      <w:pPr>
        <w:spacing w:line="360" w:lineRule="auto"/>
        <w:ind w:left="180" w:firstLine="360"/>
        <w:jc w:val="both"/>
        <w:rPr>
          <w:rFonts w:ascii="Arial" w:hAnsi="Arial" w:cs="Arial"/>
          <w:sz w:val="22"/>
          <w:lang w:val="es-MX"/>
        </w:rPr>
      </w:pPr>
    </w:p>
    <w:p w:rsidR="0093314D" w:rsidRPr="009217A6" w:rsidRDefault="0093314D" w:rsidP="0093314D">
      <w:pPr>
        <w:spacing w:line="360" w:lineRule="auto"/>
        <w:ind w:left="180" w:firstLine="360"/>
        <w:jc w:val="both"/>
        <w:rPr>
          <w:rFonts w:ascii="Arial" w:hAnsi="Arial" w:cs="Arial"/>
          <w:sz w:val="22"/>
          <w:lang w:val="es-MX"/>
        </w:rPr>
      </w:pPr>
      <w:r w:rsidRPr="009217A6">
        <w:rPr>
          <w:rFonts w:ascii="Arial" w:hAnsi="Arial" w:cs="Arial"/>
          <w:sz w:val="22"/>
          <w:lang w:val="es-MX"/>
        </w:rPr>
        <w:t>Por lo tanto, el debido proceso resulta equivalente al camino total que le Estado “debe” recorrer hasta la efectiva aplicación de una pena, entendida aquí esta última ante todo como la privación de un bien (........, la libertad,..........).</w:t>
      </w:r>
      <w:r w:rsidRPr="009217A6">
        <w:rPr>
          <w:rStyle w:val="Refdenotaalpie"/>
          <w:rFonts w:ascii="Arial" w:hAnsi="Arial" w:cs="Arial"/>
          <w:sz w:val="22"/>
          <w:lang w:val="es-MX"/>
        </w:rPr>
        <w:footnoteReference w:id="7"/>
      </w:r>
      <w:r w:rsidRPr="009217A6">
        <w:rPr>
          <w:rFonts w:ascii="Arial" w:hAnsi="Arial" w:cs="Arial"/>
          <w:sz w:val="22"/>
          <w:lang w:val="es-MX"/>
        </w:rPr>
        <w:t xml:space="preserve"> </w:t>
      </w:r>
    </w:p>
    <w:p w:rsidR="0093314D" w:rsidRPr="009217A6" w:rsidRDefault="0093314D" w:rsidP="0093314D">
      <w:pPr>
        <w:spacing w:line="360" w:lineRule="auto"/>
        <w:ind w:left="180"/>
        <w:jc w:val="both"/>
        <w:rPr>
          <w:rFonts w:ascii="Arial" w:hAnsi="Arial" w:cs="Arial"/>
          <w:sz w:val="22"/>
          <w:lang w:val="es-MX"/>
        </w:rPr>
      </w:pPr>
    </w:p>
    <w:p w:rsidR="0093314D" w:rsidRPr="009217A6" w:rsidRDefault="0093314D" w:rsidP="0093314D">
      <w:pPr>
        <w:pStyle w:val="Ttulo1"/>
        <w:rPr>
          <w:rFonts w:ascii="Arial" w:hAnsi="Arial" w:cs="Arial"/>
          <w:bCs/>
          <w:sz w:val="22"/>
        </w:rPr>
      </w:pPr>
      <w:bookmarkStart w:id="5" w:name="_Toc194650519"/>
      <w:r w:rsidRPr="009217A6">
        <w:rPr>
          <w:rFonts w:ascii="Arial" w:hAnsi="Arial" w:cs="Arial"/>
          <w:bCs/>
          <w:sz w:val="22"/>
        </w:rPr>
        <w:t xml:space="preserve">1.2  </w:t>
      </w:r>
      <w:smartTag w:uri="urn:schemas-microsoft-com:office:smarttags" w:element="PersonName">
        <w:smartTagPr>
          <w:attr w:name="ProductID" w:val="LA CONTRADICCIￓN"/>
        </w:smartTagPr>
        <w:r w:rsidRPr="009217A6">
          <w:rPr>
            <w:rFonts w:ascii="Arial" w:hAnsi="Arial" w:cs="Arial"/>
            <w:bCs/>
            <w:sz w:val="22"/>
          </w:rPr>
          <w:t>LA CONTRADICCIÓN</w:t>
        </w:r>
      </w:smartTag>
      <w:r w:rsidRPr="009217A6">
        <w:rPr>
          <w:rFonts w:ascii="Arial" w:hAnsi="Arial" w:cs="Arial"/>
          <w:bCs/>
          <w:sz w:val="22"/>
        </w:rPr>
        <w:t>:</w:t>
      </w:r>
      <w:bookmarkEnd w:id="5"/>
    </w:p>
    <w:p w:rsidR="0093314D" w:rsidRPr="009217A6" w:rsidRDefault="0093314D" w:rsidP="0093314D">
      <w:pPr>
        <w:spacing w:line="360" w:lineRule="auto"/>
        <w:ind w:firstLine="180"/>
        <w:jc w:val="both"/>
        <w:rPr>
          <w:rFonts w:ascii="Arial" w:hAnsi="Arial" w:cs="Arial"/>
          <w:sz w:val="22"/>
          <w:lang w:val="es-MX"/>
        </w:rPr>
      </w:pPr>
    </w:p>
    <w:p w:rsidR="0093314D" w:rsidRPr="009217A6" w:rsidRDefault="0093314D" w:rsidP="0093314D">
      <w:pPr>
        <w:spacing w:line="360" w:lineRule="auto"/>
        <w:ind w:firstLine="180"/>
        <w:jc w:val="both"/>
        <w:rPr>
          <w:rFonts w:ascii="Arial" w:hAnsi="Arial" w:cs="Arial"/>
          <w:sz w:val="22"/>
          <w:lang w:val="es-MX"/>
        </w:rPr>
      </w:pPr>
      <w:r w:rsidRPr="009217A6">
        <w:rPr>
          <w:rFonts w:ascii="Arial" w:hAnsi="Arial" w:cs="Arial"/>
          <w:sz w:val="22"/>
          <w:lang w:val="es-MX"/>
        </w:rPr>
        <w:t xml:space="preserve">El Art. 12 inciso primero de la constitución de la república dice que: “Toda persona a quien se impute un delito, se presumirá inocente mientras no se pruebe su culpabilidad conforme a la ley y en juicio, en el que se le aseguren todas las garantías necesarias para su defensa”.  </w:t>
      </w:r>
    </w:p>
    <w:p w:rsidR="0093314D" w:rsidRPr="009217A6" w:rsidRDefault="0093314D" w:rsidP="0093314D">
      <w:pPr>
        <w:spacing w:line="360" w:lineRule="auto"/>
        <w:ind w:firstLine="180"/>
        <w:jc w:val="both"/>
        <w:rPr>
          <w:rFonts w:ascii="Arial" w:hAnsi="Arial" w:cs="Arial"/>
          <w:sz w:val="22"/>
          <w:lang w:val="es-MX"/>
        </w:rPr>
      </w:pP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 xml:space="preserve">La norma antes relacionada constituye la base constitucional de la garantía de inviolabilidad de la defensa en juicio, que tiene conexión con el principio de contradicción, pues dicho eje rector permite a la persona sometida a juicio ejercer su defensa, tanto material como técnica; y en consecuencia es el sustrato adversativo de nuestra constitución, ya que del mismo se desprende que en el proceso penal habrá una tesis (orientación de la defensa) que contraríe y refute a la de la fiscalía, querellante o acusador particular (orientación de la acusación), las </w:t>
      </w:r>
      <w:r w:rsidRPr="009217A6">
        <w:rPr>
          <w:rFonts w:ascii="Arial" w:hAnsi="Arial" w:cs="Arial"/>
          <w:sz w:val="22"/>
          <w:lang w:val="es-MX"/>
        </w:rPr>
        <w:lastRenderedPageBreak/>
        <w:t>cuales colisionaran entre si ante un tercero imparcial; con la finalidad de acreditar la verdad de su propia teoría del caso.</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Sobre la base de esta idea de contradicción “Los casos generalmente van a juicio porque la partes tienen versiones antagónicas de los hechos pasados”</w:t>
      </w:r>
      <w:r w:rsidRPr="009217A6">
        <w:rPr>
          <w:rStyle w:val="Refdenotaalpie"/>
          <w:rFonts w:ascii="Arial" w:hAnsi="Arial" w:cs="Arial"/>
          <w:sz w:val="22"/>
          <w:lang w:val="es-MX"/>
        </w:rPr>
        <w:footnoteReference w:id="8"/>
      </w:r>
      <w:r w:rsidRPr="009217A6">
        <w:rPr>
          <w:rFonts w:ascii="Arial" w:hAnsi="Arial" w:cs="Arial"/>
          <w:sz w:val="22"/>
          <w:lang w:val="es-MX"/>
        </w:rPr>
        <w:t>, y en el marco de esa confrontación deberán probar con la prueba de cargo y de descargo que desfilara en el juicio, la realidad de cómo ocurrieron los hechos sometidos a investigación y que dieron base para iniciar un proceso penal en el cual se pone de manifiesto la conexión del principio de contradicción con las técnicas de oralidad que informan al juicio oral adversativo y publico regulado en nuestra constitución el llamado derecho a la confrontación.</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 xml:space="preserve"> “Este derecho a la confrontación tiene tres aspectos o garantías a saber:</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442AA">
      <w:pPr>
        <w:numPr>
          <w:ilvl w:val="0"/>
          <w:numId w:val="1"/>
        </w:numPr>
        <w:spacing w:line="360" w:lineRule="auto"/>
        <w:jc w:val="both"/>
        <w:rPr>
          <w:rFonts w:ascii="Arial" w:hAnsi="Arial" w:cs="Arial"/>
          <w:sz w:val="22"/>
          <w:lang w:val="es-MX"/>
        </w:rPr>
      </w:pPr>
      <w:r w:rsidRPr="009217A6">
        <w:rPr>
          <w:rFonts w:ascii="Arial" w:hAnsi="Arial" w:cs="Arial"/>
          <w:sz w:val="22"/>
          <w:lang w:val="es-MX"/>
        </w:rPr>
        <w:t>derecho a que los testigos declaren frente a la parte perjudicada con el testimonio; este es el llamado “careo físico”</w:t>
      </w:r>
    </w:p>
    <w:p w:rsidR="0093314D" w:rsidRPr="009217A6" w:rsidRDefault="0093314D" w:rsidP="009442AA">
      <w:pPr>
        <w:numPr>
          <w:ilvl w:val="0"/>
          <w:numId w:val="1"/>
        </w:numPr>
        <w:spacing w:line="360" w:lineRule="auto"/>
        <w:jc w:val="both"/>
        <w:rPr>
          <w:rFonts w:ascii="Arial" w:hAnsi="Arial" w:cs="Arial"/>
          <w:sz w:val="22"/>
          <w:lang w:val="es-MX"/>
        </w:rPr>
      </w:pPr>
      <w:r w:rsidRPr="009217A6">
        <w:rPr>
          <w:rFonts w:ascii="Arial" w:hAnsi="Arial" w:cs="Arial"/>
          <w:sz w:val="22"/>
          <w:lang w:val="es-MX"/>
        </w:rPr>
        <w:t>derecho a contrainterrogar a los testigos adversos</w:t>
      </w:r>
    </w:p>
    <w:p w:rsidR="0093314D" w:rsidRPr="009217A6" w:rsidRDefault="0093314D" w:rsidP="009442AA">
      <w:pPr>
        <w:numPr>
          <w:ilvl w:val="0"/>
          <w:numId w:val="1"/>
        </w:numPr>
        <w:spacing w:line="360" w:lineRule="auto"/>
        <w:jc w:val="both"/>
        <w:rPr>
          <w:rFonts w:ascii="Arial" w:hAnsi="Arial" w:cs="Arial"/>
          <w:sz w:val="22"/>
          <w:lang w:val="es-MX"/>
        </w:rPr>
      </w:pPr>
      <w:r w:rsidRPr="009217A6">
        <w:rPr>
          <w:rFonts w:ascii="Arial" w:hAnsi="Arial" w:cs="Arial"/>
          <w:sz w:val="22"/>
          <w:lang w:val="es-MX"/>
        </w:rPr>
        <w:t>derecho a la exclusión de cierta prueba de referencia”.</w:t>
      </w:r>
      <w:r w:rsidRPr="009217A6">
        <w:rPr>
          <w:rStyle w:val="Refdenotaalpie"/>
          <w:rFonts w:ascii="Arial" w:hAnsi="Arial" w:cs="Arial"/>
          <w:sz w:val="22"/>
          <w:lang w:val="es-MX"/>
        </w:rPr>
        <w:footnoteReference w:id="9"/>
      </w:r>
    </w:p>
    <w:p w:rsidR="0093314D" w:rsidRPr="009217A6" w:rsidRDefault="0093314D" w:rsidP="0093314D">
      <w:pPr>
        <w:spacing w:line="360" w:lineRule="auto"/>
        <w:ind w:firstLine="360"/>
        <w:jc w:val="both"/>
        <w:rPr>
          <w:rFonts w:ascii="Arial" w:hAnsi="Arial" w:cs="Arial"/>
          <w:sz w:val="22"/>
          <w:lang w:val="es-MX"/>
        </w:rPr>
      </w:pPr>
    </w:p>
    <w:p w:rsidR="0093314D" w:rsidRPr="009217A6" w:rsidRDefault="0093314D" w:rsidP="0093314D">
      <w:pPr>
        <w:spacing w:line="360" w:lineRule="auto"/>
        <w:ind w:firstLine="360"/>
        <w:jc w:val="both"/>
        <w:rPr>
          <w:rFonts w:ascii="Arial" w:hAnsi="Arial" w:cs="Arial"/>
          <w:sz w:val="22"/>
          <w:lang w:val="es-MX"/>
        </w:rPr>
      </w:pPr>
      <w:r w:rsidRPr="009217A6">
        <w:rPr>
          <w:rFonts w:ascii="Arial" w:hAnsi="Arial" w:cs="Arial"/>
          <w:sz w:val="22"/>
          <w:lang w:val="es-MX"/>
        </w:rPr>
        <w:t xml:space="preserve">En consonancia con la temática que se aborda en el desarrollo de este capitulo vamos a enfatizar sobre el derecho a contrainterrogar a los testigos adversos cuyo derecho aparece regulado en el Articulo 348 del inciso primero del código procesal penal, que reza así: “El presidente del tribunal, después preguntar al testigo cuales son sus generales, le concederá la palabra a la parte que lo presento, para que formule su primer interrogatorio; si la parte contraria manifiesta que desea contrainterrogar al testigo, le concederá la palabra al efecto...”. </w:t>
      </w:r>
    </w:p>
    <w:p w:rsidR="0093314D" w:rsidRPr="009217A6" w:rsidRDefault="0093314D" w:rsidP="0093314D">
      <w:pPr>
        <w:spacing w:line="360" w:lineRule="auto"/>
        <w:ind w:firstLine="360"/>
        <w:jc w:val="both"/>
        <w:rPr>
          <w:rFonts w:ascii="Arial" w:hAnsi="Arial" w:cs="Arial"/>
          <w:sz w:val="22"/>
          <w:lang w:val="es-MX"/>
        </w:rPr>
      </w:pPr>
    </w:p>
    <w:p w:rsidR="0093314D" w:rsidRPr="009217A6" w:rsidRDefault="0093314D" w:rsidP="0093314D">
      <w:pPr>
        <w:spacing w:line="360" w:lineRule="auto"/>
        <w:ind w:firstLine="360"/>
        <w:jc w:val="both"/>
        <w:rPr>
          <w:rFonts w:ascii="Arial" w:hAnsi="Arial" w:cs="Arial"/>
          <w:sz w:val="22"/>
          <w:lang w:val="es-MX"/>
        </w:rPr>
      </w:pPr>
      <w:r w:rsidRPr="009217A6">
        <w:rPr>
          <w:rFonts w:ascii="Arial" w:hAnsi="Arial" w:cs="Arial"/>
          <w:sz w:val="22"/>
          <w:lang w:val="es-MX"/>
        </w:rPr>
        <w:t xml:space="preserve">Del análisis de dicha disposición legal podemos establecer, que una vez el fiscal o defensor hayan realizado el respectivo examen directo a sus testigos, para obtener la información  necesaria que sustente cada una de las proposiciones fácticas de sus teorías del caso; surge inmediatamente el derecho a la contraparte, sea fiscal o defensor; de contrainterrogar al testigo que ha sido </w:t>
      </w:r>
      <w:r w:rsidRPr="009217A6">
        <w:rPr>
          <w:rFonts w:ascii="Arial" w:hAnsi="Arial" w:cs="Arial"/>
          <w:sz w:val="22"/>
        </w:rPr>
        <w:t>interrogado</w:t>
      </w:r>
      <w:r w:rsidRPr="009217A6">
        <w:rPr>
          <w:rFonts w:ascii="Arial" w:hAnsi="Arial" w:cs="Arial"/>
          <w:sz w:val="22"/>
          <w:lang w:val="es-MX"/>
        </w:rPr>
        <w:t xml:space="preserve"> en directo</w:t>
      </w:r>
      <w:r w:rsidRPr="009217A6">
        <w:rPr>
          <w:rStyle w:val="Refdenotaalpie"/>
          <w:rFonts w:ascii="Arial" w:hAnsi="Arial" w:cs="Arial"/>
          <w:sz w:val="22"/>
          <w:lang w:val="es-MX"/>
        </w:rPr>
        <w:footnoteReference w:id="10"/>
      </w:r>
      <w:r w:rsidRPr="009217A6">
        <w:rPr>
          <w:rFonts w:ascii="Arial" w:hAnsi="Arial" w:cs="Arial"/>
          <w:sz w:val="22"/>
          <w:lang w:val="es-MX"/>
        </w:rPr>
        <w:t xml:space="preserve">; ello con el propósito de menos creíble el testimonio del </w:t>
      </w:r>
      <w:r w:rsidRPr="009217A6">
        <w:rPr>
          <w:rFonts w:ascii="Arial" w:hAnsi="Arial" w:cs="Arial"/>
          <w:sz w:val="22"/>
          <w:lang w:val="es-MX"/>
        </w:rPr>
        <w:lastRenderedPageBreak/>
        <w:t>testigo y su persona, así como aportar información que contribuya favorablemente a robustecer su teoría de caso y apoyar su Alegato Final; en otras palabras se debe permitir a ambas partes contradecir la prueba ofertada por su contraparte, porque de lo contrario se estaría infringiendo uno de los ejes rectores en materia de producción de prueba, como lo es el principio de contradicción.</w:t>
      </w:r>
    </w:p>
    <w:p w:rsidR="0093314D" w:rsidRPr="009217A6" w:rsidRDefault="0093314D" w:rsidP="0093314D">
      <w:pPr>
        <w:spacing w:line="360" w:lineRule="auto"/>
        <w:ind w:firstLine="360"/>
        <w:jc w:val="both"/>
        <w:rPr>
          <w:rFonts w:ascii="Arial" w:hAnsi="Arial" w:cs="Arial"/>
          <w:sz w:val="22"/>
          <w:lang w:val="es-MX"/>
        </w:rPr>
      </w:pPr>
    </w:p>
    <w:p w:rsidR="0093314D" w:rsidRPr="009217A6" w:rsidRDefault="0093314D" w:rsidP="0093314D">
      <w:pPr>
        <w:spacing w:line="360" w:lineRule="auto"/>
        <w:ind w:firstLine="360"/>
        <w:jc w:val="both"/>
        <w:rPr>
          <w:rFonts w:ascii="Arial" w:hAnsi="Arial" w:cs="Arial"/>
          <w:sz w:val="22"/>
          <w:lang w:val="es-MX"/>
        </w:rPr>
      </w:pPr>
      <w:r w:rsidRPr="009217A6">
        <w:rPr>
          <w:rFonts w:ascii="Arial" w:hAnsi="Arial" w:cs="Arial"/>
          <w:sz w:val="22"/>
          <w:lang w:val="es-MX"/>
        </w:rPr>
        <w:t>Por lo tanto, si se persigue el ideal de que nuestro proceso penal sea catalogado como debido y adversativo, es necesario garantizar y efectivizar para las partes, el derecho a contrainterrogar los testigos interrogados por su contraparte; es decir a confrontar su testimonio y credibilidad y “Para que tal confrontación............ tenga concreción y sentido, el debido proceso exige que se pongan al alcance del acusado los medios de prueba para impugnar testigos, atacar su credibilidad y todo recurso análogo encaminado erradicar la falsedad del juicio y evitar el desvío de la justicia..........</w:t>
      </w:r>
      <w:r w:rsidRPr="009217A6">
        <w:rPr>
          <w:rStyle w:val="Refdenotaalpie"/>
          <w:rFonts w:ascii="Arial" w:hAnsi="Arial" w:cs="Arial"/>
          <w:sz w:val="22"/>
          <w:lang w:val="es-MX"/>
        </w:rPr>
        <w:footnoteReference w:id="11"/>
      </w:r>
      <w:r w:rsidRPr="009217A6">
        <w:rPr>
          <w:rFonts w:ascii="Arial" w:hAnsi="Arial" w:cs="Arial"/>
          <w:sz w:val="22"/>
          <w:lang w:val="es-MX"/>
        </w:rPr>
        <w:t>, máxima que no debe entenderse exclusivamente a favor del acusado, sino también a favor de la parte acusadora; porque el sistema adversativo exige igualdad de armas en el desarrollo de la relación jurídica procesal.</w:t>
      </w:r>
    </w:p>
    <w:p w:rsidR="0093314D" w:rsidRPr="009217A6" w:rsidRDefault="0093314D" w:rsidP="0093314D">
      <w:pPr>
        <w:spacing w:line="360" w:lineRule="auto"/>
        <w:ind w:firstLine="360"/>
        <w:jc w:val="both"/>
        <w:rPr>
          <w:rFonts w:ascii="Arial" w:hAnsi="Arial" w:cs="Arial"/>
          <w:sz w:val="22"/>
          <w:lang w:val="es-MX"/>
        </w:rPr>
      </w:pPr>
    </w:p>
    <w:p w:rsidR="0093314D" w:rsidRPr="009217A6" w:rsidRDefault="0093314D" w:rsidP="0093314D">
      <w:pPr>
        <w:pStyle w:val="Ttulo1"/>
        <w:rPr>
          <w:rFonts w:ascii="Arial" w:hAnsi="Arial" w:cs="Arial"/>
          <w:bCs/>
          <w:sz w:val="22"/>
          <w:lang w:val="es-MX"/>
        </w:rPr>
      </w:pPr>
      <w:bookmarkStart w:id="6" w:name="_Toc194650520"/>
      <w:r w:rsidRPr="009217A6">
        <w:rPr>
          <w:rFonts w:ascii="Arial" w:hAnsi="Arial" w:cs="Arial"/>
          <w:bCs/>
          <w:sz w:val="22"/>
          <w:lang w:val="es-MX"/>
        </w:rPr>
        <w:t>2- DEFINICIÓN</w:t>
      </w:r>
      <w:bookmarkEnd w:id="6"/>
      <w:r w:rsidRPr="009217A6">
        <w:rPr>
          <w:rFonts w:ascii="Arial" w:hAnsi="Arial" w:cs="Arial"/>
          <w:bCs/>
          <w:sz w:val="22"/>
          <w:lang w:val="es-MX"/>
        </w:rPr>
        <w:t xml:space="preserve"> </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A) Definición:</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El contra interrogatorio se define como el interrogatorio de un testigo realizado por la parte que no lo presento inmediatamente después de finalizado el interrogatorio directo con el propósito de restablecer la credibilidad de la persona del testigo o su testimonio cuando es previsible una afectación a sus pretensiones, o para robustecer su propia teoría del caso</w:t>
      </w:r>
      <w:r w:rsidRPr="009217A6">
        <w:rPr>
          <w:rStyle w:val="Refdenotaalpie"/>
          <w:rFonts w:ascii="Arial" w:hAnsi="Arial" w:cs="Arial"/>
          <w:sz w:val="22"/>
          <w:lang w:val="es-MX"/>
        </w:rPr>
        <w:footnoteReference w:id="12"/>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En este sentido, el contra interrogatorio “No es otra cosa que la confrontación que por medio de una serie de preguntas o aseveraciones hace una de las partes del proceso al testigo presentado por la parte adversa”.</w:t>
      </w:r>
      <w:r w:rsidRPr="009217A6">
        <w:rPr>
          <w:rStyle w:val="Refdenotaalpie"/>
          <w:rFonts w:ascii="Arial" w:hAnsi="Arial" w:cs="Arial"/>
          <w:sz w:val="22"/>
          <w:lang w:val="es-MX"/>
        </w:rPr>
        <w:footnoteReference w:id="13"/>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pStyle w:val="Ttulo1"/>
        <w:rPr>
          <w:rFonts w:ascii="Arial" w:hAnsi="Arial" w:cs="Arial"/>
          <w:bCs/>
          <w:color w:val="000000"/>
          <w:sz w:val="22"/>
        </w:rPr>
      </w:pPr>
      <w:bookmarkStart w:id="7" w:name="_Toc194650521"/>
      <w:r w:rsidRPr="009217A6">
        <w:rPr>
          <w:rFonts w:ascii="Arial" w:hAnsi="Arial" w:cs="Arial"/>
          <w:bCs/>
          <w:color w:val="000000"/>
          <w:sz w:val="22"/>
        </w:rPr>
        <w:lastRenderedPageBreak/>
        <w:t>3.  PLANIFICACIÓN</w:t>
      </w:r>
      <w:bookmarkEnd w:id="7"/>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Si partimos del hecho cierto de que en el contra interrogatorio examinamos a un testigo que no es afín a nuestros intereses, y con el que además no hemos tenido la oportunidad de conversar previo al inicio del juicio, como en el interrogatorio directo; concluiremos lógicamente que previo a contrainterrogar a un testigo es necesario realizar una planificación adecuada de dicho acto procesal.</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En la planificación del contra interrogatorio  y previo a la realización del mismo, el abogado debe plantearse dos interrogantes: 1- ¿Si realizará o no el contra interrogatorio?, y 2- ¿Cómo planear el contra interrogatorio que ha decidido realizar?</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Respecto a la primera pregunta, “La abundante literatura jurídica desarrollada en los últimos años destaca la importancia de la planificación cuidadosa y metodológica para el contra interrogatorio…, aunque los riesgos del contra interrogatorio no se puedan evitar del todo, estos pueden minimizarse”</w:t>
      </w:r>
      <w:r w:rsidRPr="009217A6">
        <w:rPr>
          <w:rStyle w:val="Refdenotaalpie"/>
          <w:rFonts w:ascii="Arial" w:hAnsi="Arial" w:cs="Arial"/>
          <w:sz w:val="22"/>
          <w:lang w:val="es-MX"/>
        </w:rPr>
        <w:footnoteReference w:id="14"/>
      </w:r>
      <w:r w:rsidRPr="009217A6">
        <w:rPr>
          <w:rFonts w:ascii="Arial" w:hAnsi="Arial" w:cs="Arial"/>
          <w:sz w:val="22"/>
          <w:lang w:val="es-MX"/>
        </w:rPr>
        <w:t>; por lo tanto la decisión de efectuar o no el contra interrogatorio debe ser producto de una minuciosa planificación y no producto de la especulación o total improvisación.</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Ahora bien, unido a esa minuciosa planificación, el abogado debe basar su determinación a interrogar, atendiendo a las circunstancias particulares de cada caso en concreto, tales como: si el testigo examinado en directo aporto o no elementos positivos para la tesis de la contraparte, si su testimonio es perjudicial a mi tesis, si es un testigo creíble o no, entre otros; de ahí que afirmen algunos que el contra interrogatorio es una oportunidad y no una necesidad, pues el abogado no esta obligado a realizar el mismo si así lo estima conveniente, ya que de lo contrario se puede llevar sorpresas inesperadas, como por ejemplo: que el testigo durante el contra interrogatorio aporte elementos favorables a nuestra contraparte, que no brindó durante el interrogatorio directo, o que con la realización de un contra interrogatorio innecesario, se habilite a la contraparte la oportunidad de realizar un potencial interrogatorio re-directo, en el que pueda retomar puntos que afecten nuestro caso, por ello se dice que “En ocasiones el mejor contra interrogatorio es, no hacer ninguna pregunta o a veces la mejor pregunta es, aquella que no se hace”.</w:t>
      </w:r>
      <w:r w:rsidRPr="009217A6">
        <w:rPr>
          <w:rStyle w:val="Refdenotaalpie"/>
          <w:rFonts w:ascii="Arial" w:hAnsi="Arial" w:cs="Arial"/>
          <w:sz w:val="22"/>
          <w:lang w:val="es-MX"/>
        </w:rPr>
        <w:footnoteReference w:id="15"/>
      </w:r>
      <w:r w:rsidRPr="009217A6">
        <w:rPr>
          <w:rFonts w:ascii="Arial" w:hAnsi="Arial" w:cs="Arial"/>
          <w:sz w:val="22"/>
          <w:lang w:val="es-MX"/>
        </w:rPr>
        <w:t xml:space="preserve">  </w:t>
      </w:r>
    </w:p>
    <w:p w:rsidR="0093314D" w:rsidRPr="009217A6" w:rsidRDefault="0093314D" w:rsidP="009217A6">
      <w:pPr>
        <w:spacing w:line="360" w:lineRule="auto"/>
        <w:jc w:val="both"/>
        <w:rPr>
          <w:rFonts w:ascii="Arial" w:hAnsi="Arial" w:cs="Arial"/>
          <w:sz w:val="22"/>
          <w:lang w:val="es-MX"/>
        </w:rPr>
      </w:pPr>
      <w:r w:rsidRPr="009217A6">
        <w:rPr>
          <w:rFonts w:ascii="Arial" w:hAnsi="Arial" w:cs="Arial"/>
          <w:sz w:val="22"/>
          <w:lang w:val="es-MX"/>
        </w:rPr>
        <w:lastRenderedPageBreak/>
        <w:tab/>
        <w:t>Si el abogado ha decidido realizar el contra interrogatorio, lo siguiente que debe preguntarse es ¿Cómo va realizar el mismo?, para lo cual se debe reflexionar sobre la forma en la que la declaración del testigo examinado en directo ha perjudicado nuestro caso y como ha respaldado al de la contraparte; y en base a esos dos extremos elaborar un esquema que contenga las temáticas u objetivos a ser abordados, la línea de interrogatorio a seguirse y la línea de preguntas a formularse; en otras palabras debe tener un plan de contra interrogatorio o repreguntas que abarque estos aspectos, con la salvedad, que “Un plan de repreguntas debe tener flexibilidad suficiente para permitir que usted profundice el ocasional chispazo de la percepción”</w:t>
      </w:r>
      <w:r w:rsidRPr="009217A6">
        <w:rPr>
          <w:rStyle w:val="Refdenotaalpie"/>
          <w:rFonts w:ascii="Arial" w:hAnsi="Arial" w:cs="Arial"/>
          <w:sz w:val="22"/>
          <w:lang w:val="es-MX"/>
        </w:rPr>
        <w:footnoteReference w:id="16"/>
      </w:r>
      <w:r w:rsidRPr="009217A6">
        <w:rPr>
          <w:rFonts w:ascii="Arial" w:hAnsi="Arial" w:cs="Arial"/>
          <w:sz w:val="22"/>
          <w:lang w:val="es-MX"/>
        </w:rPr>
        <w:t xml:space="preserve"> ; es decir que si bien es cierto se debe tener elaborado un esquema previo que nos sirva de guía para afrontar el contra interrogatorio, el mismo no tiene la característica de intocable o invariable, pues “Como es lógico, el contra interrogatorio en la mayor parte de los casos presupone riesgos, un grado de incertidumbre e imprevisibilidad"</w:t>
      </w:r>
      <w:r w:rsidRPr="009217A6">
        <w:rPr>
          <w:rStyle w:val="Refdenotaalpie"/>
          <w:rFonts w:ascii="Arial" w:hAnsi="Arial" w:cs="Arial"/>
          <w:sz w:val="22"/>
          <w:lang w:val="es-MX"/>
        </w:rPr>
        <w:footnoteReference w:id="17"/>
      </w:r>
      <w:r w:rsidRPr="009217A6">
        <w:rPr>
          <w:rFonts w:ascii="Arial" w:hAnsi="Arial" w:cs="Arial"/>
          <w:sz w:val="22"/>
          <w:lang w:val="es-MX"/>
        </w:rPr>
        <w:t>, razón por la cual si el testigo al que estamos contrainterrogando nos brinda información valiosa para nuestro caso, que puede ser utilizada como un objetivo de contra interrogatorio no contemplado en el bosquejo; debemos explotar dicho punto que nos resulta sorpresivo, ya que de lo contrario se puede incurrir en el error de limitarnos exclusivamente a un guión que obviamente no comprende toda la gama de eventualidades, que pueden ser determinantes a favor de nuestro caso.</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pStyle w:val="Ttulo1"/>
        <w:rPr>
          <w:rFonts w:ascii="Arial" w:hAnsi="Arial" w:cs="Arial"/>
          <w:bCs/>
          <w:sz w:val="22"/>
          <w:lang w:val="es-MX"/>
        </w:rPr>
      </w:pPr>
      <w:bookmarkStart w:id="8" w:name="_Toc194650522"/>
      <w:r w:rsidRPr="009217A6">
        <w:rPr>
          <w:rFonts w:ascii="Arial" w:hAnsi="Arial" w:cs="Arial"/>
          <w:bCs/>
          <w:sz w:val="22"/>
          <w:lang w:val="es-MX"/>
        </w:rPr>
        <w:t>3.1 - OBJETIVOS DEL CONTRA INTERROGATORIO:</w:t>
      </w:r>
      <w:bookmarkEnd w:id="8"/>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Al momento de planificar un contra interrogatorio, surge la interrogante de, ¿Qué aspectos debe tomar en cuenta el abogado para preparar el contra interrogatorio?, los aspectos a considerar están determinados por contenido de las proposiciones fácticas que nutren la teoría del caso de los intervinientes durante el interrogatorio directo que ha sido sometido previamente el testigo de cada parte y específicamente por los propósitos u objetivos que persiga el abogado.</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La formulación de un contra interrogatorio normalmente tiene objetivos defensivos y de ataque. Entre los propósitos defensivos esta la desacreditación del testigo de la contraparte y la desacreditación de la persona del mismo.</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lastRenderedPageBreak/>
        <w:t>Entre los objetivos de ataque se menciona el uso del contra interrogatorio para robustecer la teoría del caso del contra interrogador, para sentar las bases de producción de un material probatorio que refute la prueba de la parte contraria y para fortalecer dentro de la discusión final la exposición del Alegato Final.</w:t>
      </w:r>
      <w:r w:rsidRPr="009217A6">
        <w:rPr>
          <w:rStyle w:val="Refdenotaalpie"/>
          <w:rFonts w:ascii="Arial" w:hAnsi="Arial" w:cs="Arial"/>
          <w:sz w:val="22"/>
          <w:lang w:val="es-MX"/>
        </w:rPr>
        <w:footnoteReference w:id="18"/>
      </w:r>
    </w:p>
    <w:p w:rsidR="0093314D" w:rsidRPr="009217A6" w:rsidRDefault="0093314D" w:rsidP="0093314D">
      <w:pPr>
        <w:pStyle w:val="Ttulo2"/>
        <w:spacing w:line="360" w:lineRule="auto"/>
        <w:jc w:val="both"/>
        <w:rPr>
          <w:b w:val="0"/>
          <w:i w:val="0"/>
          <w:iCs w:val="0"/>
          <w:sz w:val="22"/>
          <w:szCs w:val="24"/>
          <w:lang w:val="es-MX"/>
        </w:rPr>
      </w:pPr>
      <w:bookmarkStart w:id="9" w:name="_Toc194650523"/>
      <w:r w:rsidRPr="009217A6">
        <w:rPr>
          <w:b w:val="0"/>
          <w:i w:val="0"/>
          <w:iCs w:val="0"/>
          <w:sz w:val="22"/>
          <w:szCs w:val="24"/>
          <w:lang w:val="es-MX"/>
        </w:rPr>
        <w:t>3.1.1- OBJETIVOS DEFENSIVOS:</w:t>
      </w:r>
      <w:bookmarkEnd w:id="9"/>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Contradecir el material probatorio introducido por medio del interrogatorio directo formulado al testigo presentado por la parte contraria, impugna la credibilidad del testigo y de su testimonio en todo lo que afecte la teoría del caso del contra interrogatorio, una vez finalizado el interrogatorio directo del testigo de la parte contraria, por medio del cual ha narrado ante los ojos del juzgador la información necesaria para la tesis de nuestro adversario, es el turno para el abogado que no oferto la declaración del testigo para confrontar la misma a través del contra interrogatorio y así restarle credibilidad al igual que la persona del testigo, en otras palabras a través de éste el abogado reacciona ante esa declaración adversa y perjudicial a sus pretensiones, de ahí que el mismo tenga fines defensivos como los siguientes:</w:t>
      </w:r>
    </w:p>
    <w:p w:rsidR="0093314D" w:rsidRPr="009217A6" w:rsidRDefault="0093314D" w:rsidP="0093314D">
      <w:pPr>
        <w:pStyle w:val="Ttulo3"/>
        <w:spacing w:line="360" w:lineRule="auto"/>
        <w:jc w:val="both"/>
        <w:rPr>
          <w:b w:val="0"/>
          <w:iCs/>
          <w:sz w:val="22"/>
          <w:szCs w:val="24"/>
          <w:lang w:val="es-MX"/>
        </w:rPr>
      </w:pPr>
      <w:bookmarkStart w:id="10" w:name="_Toc194650524"/>
      <w:r w:rsidRPr="009217A6">
        <w:rPr>
          <w:b w:val="0"/>
          <w:iCs/>
          <w:sz w:val="22"/>
          <w:szCs w:val="24"/>
          <w:lang w:val="es-MX"/>
        </w:rPr>
        <w:t>a) DESACREDITAR AL TESTIGO:</w:t>
      </w:r>
      <w:bookmarkEnd w:id="10"/>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Si en la fase de acreditación del interrogatorio en directo, el examinador logro acreditar suficientemente la credibilidad a favor del al testigo frente a los ojos del juzgador, a contrario sensu, en el contra interrogatorio el abogado pretende restar credibilidad a la persona del testigo, sea porque este tiene algún tipo de interés en el proceso, por sus convicciones o antecedentes personales, conductas previas, prejuicios o influencias, entre otros; para poner a prueba la veracidad del testigo, ante los ojos del juzgador.</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El interés como indicio de parcialidad del testigo, puede adoptar diversos matices o formas, tales como: intereses económicos, concesión de un criterio de oportunidad, relaciones de parentesco y afinidad, rancias personales, dependencia laboral y económica, entre otras; de las cuales se infiere de alguna forma, que el testigo no es sincero, por mostrar interés respecto del resultado del proceso.</w:t>
      </w:r>
    </w:p>
    <w:p w:rsidR="0093314D" w:rsidRPr="009217A6" w:rsidRDefault="0093314D" w:rsidP="0093314D">
      <w:pPr>
        <w:pStyle w:val="Ttulo3"/>
        <w:spacing w:line="360" w:lineRule="auto"/>
        <w:jc w:val="both"/>
        <w:rPr>
          <w:b w:val="0"/>
          <w:iCs/>
          <w:sz w:val="22"/>
          <w:szCs w:val="24"/>
          <w:lang w:val="es-MX"/>
        </w:rPr>
      </w:pPr>
      <w:bookmarkStart w:id="11" w:name="_Toc194650525"/>
      <w:r w:rsidRPr="009217A6">
        <w:rPr>
          <w:b w:val="0"/>
          <w:iCs/>
          <w:sz w:val="22"/>
          <w:szCs w:val="24"/>
          <w:lang w:val="es-MX"/>
        </w:rPr>
        <w:t>b) DESACREDITAR EL TESTIMONIO:</w:t>
      </w:r>
      <w:bookmarkEnd w:id="11"/>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lastRenderedPageBreak/>
        <w:t>En este propósito se parte de la idea, que “Lo que el testigo manifiesta sobre los hechos puede igualmente atacarse desde los tres elementos sicológicos del testimonio: La percepción, la memoria y la deposición o comunicación”.</w:t>
      </w:r>
      <w:r w:rsidRPr="009217A6">
        <w:rPr>
          <w:rStyle w:val="Refdenotaalpie"/>
          <w:rFonts w:ascii="Arial" w:hAnsi="Arial" w:cs="Arial"/>
          <w:sz w:val="22"/>
          <w:lang w:val="es-MX"/>
        </w:rPr>
        <w:footnoteReference w:id="19"/>
      </w:r>
      <w:r w:rsidRPr="009217A6">
        <w:rPr>
          <w:rFonts w:ascii="Arial" w:hAnsi="Arial" w:cs="Arial"/>
          <w:sz w:val="22"/>
          <w:lang w:val="es-MX"/>
        </w:rPr>
        <w:t xml:space="preserve"> En otras palabras se persigue restar eficacia y credibilidad a la declaración brindada por el testigo.</w:t>
      </w:r>
    </w:p>
    <w:p w:rsidR="0093314D" w:rsidRPr="009217A6" w:rsidRDefault="0093314D" w:rsidP="0093314D">
      <w:pPr>
        <w:spacing w:line="360" w:lineRule="auto"/>
        <w:ind w:firstLine="360"/>
        <w:jc w:val="both"/>
        <w:rPr>
          <w:rFonts w:ascii="Arial" w:hAnsi="Arial" w:cs="Arial"/>
          <w:sz w:val="22"/>
          <w:lang w:val="es-MX"/>
        </w:rPr>
      </w:pPr>
    </w:p>
    <w:p w:rsidR="0093314D" w:rsidRPr="009217A6" w:rsidRDefault="0093314D" w:rsidP="0093314D">
      <w:pPr>
        <w:spacing w:line="360" w:lineRule="auto"/>
        <w:ind w:firstLine="360"/>
        <w:jc w:val="both"/>
        <w:rPr>
          <w:rFonts w:ascii="Arial" w:hAnsi="Arial" w:cs="Arial"/>
          <w:sz w:val="22"/>
          <w:lang w:val="es-MX"/>
        </w:rPr>
      </w:pPr>
      <w:r w:rsidRPr="009217A6">
        <w:rPr>
          <w:rFonts w:ascii="Arial" w:hAnsi="Arial" w:cs="Arial"/>
          <w:sz w:val="22"/>
          <w:lang w:val="es-MX"/>
        </w:rPr>
        <w:t>A continuación explicaremos brevemente cada una de las cualidades testifícales antes relacionadas:</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442AA">
      <w:pPr>
        <w:numPr>
          <w:ilvl w:val="0"/>
          <w:numId w:val="2"/>
        </w:numPr>
        <w:spacing w:line="360" w:lineRule="auto"/>
        <w:jc w:val="both"/>
        <w:rPr>
          <w:rFonts w:ascii="Arial" w:hAnsi="Arial" w:cs="Arial"/>
          <w:sz w:val="22"/>
          <w:lang w:val="es-MX"/>
        </w:rPr>
      </w:pPr>
      <w:r w:rsidRPr="009217A6">
        <w:rPr>
          <w:rFonts w:ascii="Arial" w:hAnsi="Arial" w:cs="Arial"/>
          <w:sz w:val="22"/>
          <w:lang w:val="es-MX"/>
        </w:rPr>
        <w:t>La Percepción</w:t>
      </w:r>
      <w:r w:rsidRPr="009217A6">
        <w:rPr>
          <w:rStyle w:val="Refdenotaalpie"/>
          <w:rFonts w:ascii="Arial" w:hAnsi="Arial" w:cs="Arial"/>
          <w:sz w:val="22"/>
          <w:lang w:val="es-MX"/>
        </w:rPr>
        <w:footnoteReference w:id="20"/>
      </w:r>
      <w:r w:rsidRPr="009217A6">
        <w:rPr>
          <w:rFonts w:ascii="Arial" w:hAnsi="Arial" w:cs="Arial"/>
          <w:sz w:val="22"/>
          <w:lang w:val="es-MX"/>
        </w:rPr>
        <w:t>, es la forma en que el testigo conoce y comprende los hechos que va a declarar en el juicio, la misma se construye sobre factores de carácter interno o subjetivo, como la salud del testigo, su visión, audición, estado mental, y factores de carácter externo u objetivo, es decir las condiciones de modo, tiempo y lugar de los hechos (clima, distancia, iluminación entre otros).</w:t>
      </w:r>
    </w:p>
    <w:p w:rsidR="0093314D" w:rsidRPr="009217A6" w:rsidRDefault="0093314D" w:rsidP="0093314D">
      <w:pPr>
        <w:spacing w:line="360" w:lineRule="auto"/>
        <w:ind w:left="360"/>
        <w:jc w:val="both"/>
        <w:rPr>
          <w:rFonts w:ascii="Arial" w:hAnsi="Arial" w:cs="Arial"/>
          <w:sz w:val="22"/>
          <w:lang w:val="es-MX"/>
        </w:rPr>
      </w:pPr>
    </w:p>
    <w:p w:rsidR="0093314D" w:rsidRPr="009217A6" w:rsidRDefault="0093314D" w:rsidP="009442AA">
      <w:pPr>
        <w:numPr>
          <w:ilvl w:val="0"/>
          <w:numId w:val="2"/>
        </w:numPr>
        <w:spacing w:line="360" w:lineRule="auto"/>
        <w:jc w:val="both"/>
        <w:rPr>
          <w:rFonts w:ascii="Arial" w:hAnsi="Arial" w:cs="Arial"/>
          <w:sz w:val="22"/>
          <w:lang w:val="es-MX"/>
        </w:rPr>
      </w:pPr>
      <w:r w:rsidRPr="009217A6">
        <w:rPr>
          <w:rFonts w:ascii="Arial" w:hAnsi="Arial" w:cs="Arial"/>
          <w:sz w:val="22"/>
          <w:lang w:val="es-MX"/>
        </w:rPr>
        <w:t>“La memoria comprende la conservación de las impresiones sensibles, la reproducción de los recuerdos, su evocación y ubicación en el tiempo”.</w:t>
      </w:r>
      <w:r w:rsidRPr="009217A6">
        <w:rPr>
          <w:rStyle w:val="Refdenotaalpie"/>
          <w:rFonts w:ascii="Arial" w:hAnsi="Arial" w:cs="Arial"/>
          <w:sz w:val="22"/>
          <w:lang w:val="es-MX"/>
        </w:rPr>
        <w:footnoteReference w:id="21"/>
      </w:r>
      <w:r w:rsidRPr="009217A6">
        <w:rPr>
          <w:rFonts w:ascii="Arial" w:hAnsi="Arial" w:cs="Arial"/>
          <w:sz w:val="22"/>
          <w:lang w:val="es-MX"/>
        </w:rPr>
        <w:t>Es decir que en el momento del juicio el testigo realiza una remembranza, de lo visto y observado por su persona el día de los hechos, circunstancias que con el transcurrir del tiempos son más difíciles de recordar con la misma calidad y nitidez, que el día del evento.</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442AA">
      <w:pPr>
        <w:numPr>
          <w:ilvl w:val="0"/>
          <w:numId w:val="2"/>
        </w:numPr>
        <w:spacing w:line="360" w:lineRule="auto"/>
        <w:jc w:val="both"/>
        <w:rPr>
          <w:rFonts w:ascii="Arial" w:hAnsi="Arial" w:cs="Arial"/>
          <w:sz w:val="22"/>
          <w:lang w:val="es-MX"/>
        </w:rPr>
      </w:pPr>
      <w:r w:rsidRPr="009217A6">
        <w:rPr>
          <w:rFonts w:ascii="Arial" w:hAnsi="Arial" w:cs="Arial"/>
          <w:sz w:val="22"/>
          <w:lang w:val="es-MX"/>
        </w:rPr>
        <w:t xml:space="preserve">“La comunicación es la manera como el testigo expresa ante el juez su testimonio. En ella intervienen dos factores principales: La capacidad de expresar con mayor o menor claridad las percepciones reales recibidas; y de otra, la voluntad de reproducirlas fiel y francamente” </w:t>
      </w:r>
    </w:p>
    <w:p w:rsidR="0093314D" w:rsidRPr="009217A6" w:rsidRDefault="0093314D" w:rsidP="0093314D">
      <w:pPr>
        <w:pStyle w:val="Ttulo2"/>
        <w:spacing w:line="360" w:lineRule="auto"/>
        <w:jc w:val="both"/>
        <w:rPr>
          <w:b w:val="0"/>
          <w:i w:val="0"/>
          <w:iCs w:val="0"/>
          <w:sz w:val="22"/>
          <w:szCs w:val="24"/>
          <w:lang w:val="es-MX"/>
        </w:rPr>
      </w:pPr>
      <w:bookmarkStart w:id="12" w:name="_Toc194650526"/>
      <w:r w:rsidRPr="009217A6">
        <w:rPr>
          <w:b w:val="0"/>
          <w:i w:val="0"/>
          <w:sz w:val="22"/>
          <w:szCs w:val="24"/>
        </w:rPr>
        <w:t>3.2.1 OBJETIVOS DE ATAQUE</w:t>
      </w:r>
      <w:bookmarkEnd w:id="12"/>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Sobre esta base en un contra interrogatorio el abogado no debe perseguirse propósitos </w:t>
      </w:r>
      <w:proofErr w:type="spellStart"/>
      <w:r w:rsidRPr="009217A6">
        <w:rPr>
          <w:rFonts w:ascii="Arial" w:hAnsi="Arial" w:cs="Arial"/>
          <w:sz w:val="22"/>
          <w:lang w:val="es-MX"/>
        </w:rPr>
        <w:t>confrontativos</w:t>
      </w:r>
      <w:proofErr w:type="spellEnd"/>
      <w:r w:rsidRPr="009217A6">
        <w:rPr>
          <w:rFonts w:ascii="Arial" w:hAnsi="Arial" w:cs="Arial"/>
          <w:sz w:val="22"/>
          <w:lang w:val="es-MX"/>
        </w:rPr>
        <w:t xml:space="preserve"> en sentido estricto, sino que además pretende utilizar el mismo para extraer información del testigo contrario, que favorezca a su caso; de ahí que el mismo tenga objetivos de ataque o de avance, como los siguientes: </w:t>
      </w:r>
    </w:p>
    <w:p w:rsidR="0093314D" w:rsidRPr="009217A6" w:rsidRDefault="0093314D" w:rsidP="0093314D">
      <w:pPr>
        <w:pStyle w:val="Ttulo3"/>
        <w:spacing w:line="360" w:lineRule="auto"/>
        <w:jc w:val="both"/>
        <w:rPr>
          <w:b w:val="0"/>
          <w:iCs/>
          <w:sz w:val="22"/>
          <w:szCs w:val="24"/>
          <w:lang w:val="es-MX"/>
        </w:rPr>
      </w:pPr>
      <w:bookmarkStart w:id="13" w:name="_Toc194650527"/>
      <w:r w:rsidRPr="009217A6">
        <w:rPr>
          <w:b w:val="0"/>
          <w:iCs/>
          <w:sz w:val="22"/>
          <w:szCs w:val="24"/>
          <w:lang w:val="es-MX"/>
        </w:rPr>
        <w:lastRenderedPageBreak/>
        <w:t>a) ACREDITAR LAS PROPOSICIONES FÁCTICAS</w:t>
      </w:r>
      <w:bookmarkEnd w:id="13"/>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Si atendemos a los principios de adquisición procesal y de comunidad de la prueba, la declaración obtenida del testigo contrainterrogado puede ser utilizada por el abogado contra interrogador a efecto de acreditar y robustecer cada una de las proposiciones fácticas que conforman su teoría del caso; lo que genera un efecto de mayor credibilidad de parte del juzgador hacia nuestra posición; ya que es un testigo no afín a nosotros el que está confirmando la información, que nos conviene, y que ha sido demostrada con el resto de la prueba.</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pStyle w:val="Ttulo3"/>
        <w:spacing w:line="360" w:lineRule="auto"/>
        <w:jc w:val="both"/>
        <w:rPr>
          <w:b w:val="0"/>
          <w:iCs/>
          <w:sz w:val="22"/>
          <w:szCs w:val="24"/>
          <w:lang w:val="es-MX"/>
        </w:rPr>
      </w:pPr>
      <w:bookmarkStart w:id="14" w:name="_Toc194650528"/>
      <w:r w:rsidRPr="009217A6">
        <w:rPr>
          <w:b w:val="0"/>
          <w:iCs/>
          <w:sz w:val="22"/>
          <w:szCs w:val="24"/>
          <w:lang w:val="es-MX"/>
        </w:rPr>
        <w:t>b) SENTAR LAS BASES PARA ACREDITAR PRUEBA MATERIAL</w:t>
      </w:r>
      <w:bookmarkEnd w:id="14"/>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Este propósito “consiste en utilizar la declaración del testigo para establecer aquellas bases evidenciarías necesarias para la admisibilidad de la prueba”.</w:t>
      </w:r>
      <w:r w:rsidRPr="009217A6">
        <w:rPr>
          <w:rStyle w:val="Refdenotaalpie"/>
          <w:rFonts w:ascii="Arial" w:hAnsi="Arial" w:cs="Arial"/>
          <w:sz w:val="22"/>
          <w:lang w:val="es-MX"/>
        </w:rPr>
        <w:footnoteReference w:id="22"/>
      </w:r>
      <w:r w:rsidRPr="009217A6">
        <w:rPr>
          <w:rFonts w:ascii="Arial" w:hAnsi="Arial" w:cs="Arial"/>
          <w:sz w:val="22"/>
          <w:lang w:val="es-MX"/>
        </w:rPr>
        <w:t xml:space="preserve"> En otras palabras el testigo puede suministrar información indispensable que sirva de base para introducir nuevos elementos de prueba en la continuación su línea de contra interrogatorio o para consolidar más su teoría del caso; aclarando que las bases probatorias en comento pueden facilitar la introducción de nuevos elementos de prueba siempre y cuando lo dicho por el testigo en el curso del contra interrogatorio constituya una causa que habilite un pegunta cuya respuesta aporte esos elementos de prueba que pueden ser carácter demostrativo, confirmatorio o de refutación.  </w:t>
      </w:r>
    </w:p>
    <w:p w:rsidR="0093314D" w:rsidRPr="009217A6" w:rsidRDefault="0093314D" w:rsidP="0093314D">
      <w:pPr>
        <w:pStyle w:val="Ttulo3"/>
        <w:spacing w:line="360" w:lineRule="auto"/>
        <w:jc w:val="both"/>
        <w:rPr>
          <w:b w:val="0"/>
          <w:iCs/>
          <w:sz w:val="22"/>
          <w:szCs w:val="24"/>
          <w:lang w:val="es-MX"/>
        </w:rPr>
      </w:pPr>
      <w:bookmarkStart w:id="15" w:name="_Toc194650529"/>
      <w:r w:rsidRPr="009217A6">
        <w:rPr>
          <w:b w:val="0"/>
          <w:iCs/>
          <w:sz w:val="22"/>
          <w:szCs w:val="24"/>
          <w:lang w:val="es-MX"/>
        </w:rPr>
        <w:t xml:space="preserve">c) OBTENER INCONSISTENCIAS DE </w:t>
      </w:r>
      <w:smartTag w:uri="urn:schemas-microsoft-com:office:smarttags" w:element="PersonName">
        <w:smartTagPr>
          <w:attr w:name="ProductID" w:val="LA PRUEBA CONTRARIA"/>
        </w:smartTagPr>
        <w:r w:rsidRPr="009217A6">
          <w:rPr>
            <w:b w:val="0"/>
            <w:iCs/>
            <w:sz w:val="22"/>
            <w:szCs w:val="24"/>
            <w:lang w:val="es-MX"/>
          </w:rPr>
          <w:t>LA PRUEBA CONTRARIA</w:t>
        </w:r>
      </w:smartTag>
      <w:bookmarkEnd w:id="15"/>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Si lo que pretenden los abogados con la prueba ofertada para el juicio es persuadir al juzgador sobre la veracidad de sus proposiciones fácticas; el hecho de que entre la misma prueba existan ofertada por la parte contraria contradicciones, resta credibilidad ante la recepción del juzgador a la versión planteada, lo cual es el lógico, en el sentido que la oferta del material probatorio que respalda la teoría de una parte debe guardar armonía y coherencia lógica entre si,  porqué de lo contrario, provocaría para el abogado la desastrosa consecuencia de hacer menos probables las proposiciones fácticas de su teoría de caso, todo eso por la inconsistencia probatoria; razón por la cual el abogado contra interrogador debe resaltar las </w:t>
      </w:r>
      <w:r w:rsidRPr="009217A6">
        <w:rPr>
          <w:rFonts w:ascii="Arial" w:hAnsi="Arial" w:cs="Arial"/>
          <w:sz w:val="22"/>
          <w:lang w:val="es-MX"/>
        </w:rPr>
        <w:lastRenderedPageBreak/>
        <w:t xml:space="preserve">incoherencias de la declaración del testigo, para demostrar al juzgador, que la versión de la contraparte es inverosímil. </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pStyle w:val="Ttulo3"/>
        <w:spacing w:line="360" w:lineRule="auto"/>
        <w:jc w:val="both"/>
        <w:rPr>
          <w:b w:val="0"/>
          <w:iCs/>
          <w:sz w:val="22"/>
          <w:szCs w:val="24"/>
          <w:lang w:val="es-MX"/>
        </w:rPr>
      </w:pPr>
      <w:bookmarkStart w:id="16" w:name="_Toc194650530"/>
      <w:r w:rsidRPr="009217A6">
        <w:rPr>
          <w:b w:val="0"/>
          <w:iCs/>
          <w:sz w:val="22"/>
          <w:szCs w:val="24"/>
          <w:lang w:val="es-MX"/>
        </w:rPr>
        <w:t>d) ROBUSTECER EL CONTENIDO DEL ALEGATO FINAL</w:t>
      </w:r>
      <w:bookmarkEnd w:id="16"/>
      <w:r w:rsidRPr="009217A6">
        <w:rPr>
          <w:b w:val="0"/>
          <w:iCs/>
          <w:sz w:val="22"/>
          <w:szCs w:val="24"/>
          <w:lang w:val="es-MX"/>
        </w:rPr>
        <w:t xml:space="preserve"> </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Se dice que “El resultado final del contra interrogatorio es hacer puntos para el Alegato Final”</w:t>
      </w:r>
      <w:r w:rsidRPr="009217A6">
        <w:rPr>
          <w:rStyle w:val="Refdenotaalpie"/>
          <w:rFonts w:ascii="Arial" w:hAnsi="Arial" w:cs="Arial"/>
          <w:sz w:val="22"/>
          <w:lang w:val="es-MX"/>
        </w:rPr>
        <w:footnoteReference w:id="23"/>
      </w:r>
      <w:r w:rsidRPr="009217A6">
        <w:rPr>
          <w:rFonts w:ascii="Arial" w:hAnsi="Arial" w:cs="Arial"/>
          <w:sz w:val="22"/>
          <w:lang w:val="es-MX"/>
        </w:rPr>
        <w:t>; pues ese será el momento oportuno para analizar la prueba que ha desfilado en el juicio; es decir que en dicho alegato analizaremos la declaración del testigo contra interrogado, explicándole al tribunal las razones por las que tanto el testigo, como su declaración, no pueden ser merecedoras de su credibilidad, porque se ha resaltado las serias inconsistencias del testimonio brindado con el resto de la prueba, que se ha destacado la parcialidad del testigo, la inverosimilitud de su testimonio, entre otros; es decir que en el Alegato Final evaluaremos de forma critica la persona y la declaración del testigo, para determinar que con dicha prueba acreditamos nuestra tesis y desacreditamos la de la contraparte.</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217A6">
      <w:pPr>
        <w:spacing w:line="360" w:lineRule="auto"/>
        <w:jc w:val="both"/>
        <w:rPr>
          <w:rFonts w:ascii="Arial" w:hAnsi="Arial" w:cs="Arial"/>
          <w:sz w:val="22"/>
          <w:lang w:val="es-MX"/>
        </w:rPr>
      </w:pPr>
    </w:p>
    <w:p w:rsidR="0093314D" w:rsidRPr="009217A6" w:rsidRDefault="0093314D" w:rsidP="0093314D">
      <w:pPr>
        <w:pStyle w:val="Ttulo1"/>
        <w:rPr>
          <w:rFonts w:ascii="Arial" w:hAnsi="Arial" w:cs="Arial"/>
          <w:bCs/>
          <w:sz w:val="22"/>
          <w:lang w:val="es-MX"/>
        </w:rPr>
      </w:pPr>
      <w:bookmarkStart w:id="17" w:name="_Toc194650531"/>
      <w:r w:rsidRPr="009217A6">
        <w:rPr>
          <w:rFonts w:ascii="Arial" w:hAnsi="Arial" w:cs="Arial"/>
          <w:bCs/>
          <w:sz w:val="22"/>
          <w:lang w:val="es-MX"/>
        </w:rPr>
        <w:t>4. ESTRUCTURA DEL CONTRA INTERROGATORIO</w:t>
      </w:r>
      <w:bookmarkEnd w:id="17"/>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Cuando hablamos de estructura del contra interrogatorio, lo hacemos haciendo referencia a la distribución en partes de dicha forma de interrogatorio y al orden que se le asigna a cada una de ellas dentro de dicho interrogatorio para darle coherencia e integralidad a las preguntas que serán formuladas al testigo estructura del contra interrogatorio es distinta a la del interrogatorio directo, pues en este el abogado en su afán de persuadir de forma detallada al juzgador sobre la veracidad de sus proposiciones fácticas que integran su teoría del caso, para evitar que quede algún vació o duda en su mente; presenta un interrogatorio directo en un orden lógico y cronológico (por fases), mostrando coherencia a lo largo de su desarrollo, desde las preguntas de acreditación hasta las de conclusión, pues en el interrogatorio directo “...... el testigo organiza su “tren” de pensamiento así como el ritmo de su testimonio”</w:t>
      </w:r>
      <w:r w:rsidRPr="009217A6">
        <w:rPr>
          <w:rStyle w:val="Refdenotaalpie"/>
          <w:rFonts w:ascii="Arial" w:hAnsi="Arial" w:cs="Arial"/>
          <w:sz w:val="22"/>
          <w:lang w:val="es-MX"/>
        </w:rPr>
        <w:footnoteReference w:id="24"/>
      </w:r>
      <w:r w:rsidRPr="009217A6">
        <w:rPr>
          <w:rFonts w:ascii="Arial" w:hAnsi="Arial" w:cs="Arial"/>
          <w:sz w:val="22"/>
          <w:lang w:val="es-MX"/>
        </w:rPr>
        <w:t xml:space="preserve"> , en otras palabras el abogado guía al testigo en la narración de la historia por facetas, para efecto de que </w:t>
      </w:r>
      <w:r w:rsidRPr="009217A6">
        <w:rPr>
          <w:rFonts w:ascii="Arial" w:hAnsi="Arial" w:cs="Arial"/>
          <w:sz w:val="22"/>
          <w:lang w:val="es-MX"/>
        </w:rPr>
        <w:lastRenderedPageBreak/>
        <w:t>el juzgador tenga claridad de la historia que el abogado quiere narrar a través del testigo sometido al interrogatorio directo.</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anteriores una línea de acción totalmente diferente en el contra interrogatorio, no se tiene la intención de contarle al juez una historia en orden cronológico, sino más bien resaltar aquellos puntos del testimonio vertido durante el interrogatorio directo que favorecen nuestro teoría del caso, las inconsistencias e incoherencias del mismo que perjudican la teoría del caso de la contraparte, las circunstancias que hacen impugnable al testigo y  su declaración, por lo tanto al contra interrogador no le interesa narrar una historia completa en orden cronológico; sino más bien segmentos que puedan aportar evidencia valiosa con miras a lograr los fines antes mencionados; de ahí que La estructura del contra interrogatorio … es esencialmente temática</w:t>
      </w:r>
      <w:r w:rsidRPr="009217A6">
        <w:rPr>
          <w:rStyle w:val="Refdenotaalpie"/>
          <w:rFonts w:ascii="Arial" w:hAnsi="Arial" w:cs="Arial"/>
          <w:sz w:val="22"/>
          <w:lang w:val="es-MX"/>
        </w:rPr>
        <w:footnoteReference w:id="25"/>
      </w:r>
      <w:r w:rsidRPr="009217A6">
        <w:rPr>
          <w:rFonts w:ascii="Arial" w:hAnsi="Arial" w:cs="Arial"/>
          <w:sz w:val="22"/>
          <w:lang w:val="es-MX"/>
        </w:rPr>
        <w:t xml:space="preserve">, en otras palabras se basa en temas o materias nuevas resultantes del interrogatorio inmediatamente anterior. (Art. 348 inc. 1° parte final Pr. </w:t>
      </w:r>
      <w:proofErr w:type="spellStart"/>
      <w:r w:rsidRPr="009217A6">
        <w:rPr>
          <w:rFonts w:ascii="Arial" w:hAnsi="Arial" w:cs="Arial"/>
          <w:sz w:val="22"/>
          <w:lang w:val="es-MX"/>
        </w:rPr>
        <w:t>Pn</w:t>
      </w:r>
      <w:proofErr w:type="spellEnd"/>
      <w:r w:rsidRPr="009217A6">
        <w:rPr>
          <w:rFonts w:ascii="Arial" w:hAnsi="Arial" w:cs="Arial"/>
          <w:sz w:val="22"/>
          <w:lang w:val="es-MX"/>
        </w:rPr>
        <w:t>.)</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Sobre esta base, la referencia que se tiene para estructurar las temáticas de nuestro contra interrogatorio procede de el abordaje y agotamiento que sobre cada tema realice el interrogador directo para el caso, dentro de la temática de la acreditación de la credibilidad del testigo, con mucha anticipación el contra interrogador había recopilado información con la cual contrainterroga al testigo y mina su credibilidad.</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De igual manera, dentro de la temática de las preguntas con las cuales el interrogador en directo pretenderá exponer a través del testigo la ocurrencia del evento principal, el contra interrogador habrá hecho acopio de la información pertinente con la cual contradecirá lo dicho en el cual desacreditara su capacidad probatoria.</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Lo anteriormente dicho sirve para afirmar que la planificación y estructura del contra interrogatorio debe realizarse de manera previa y con suficiente antelación sin olvidar que mientras no concluya el juicio los aspectos que determinan los sujetos, están en permanente actualización y rediseño.</w:t>
      </w:r>
    </w:p>
    <w:p w:rsidR="0093314D" w:rsidRPr="009217A6" w:rsidRDefault="0093314D" w:rsidP="0093314D">
      <w:pPr>
        <w:pStyle w:val="Ttulo2"/>
        <w:spacing w:line="360" w:lineRule="auto"/>
        <w:jc w:val="both"/>
        <w:rPr>
          <w:b w:val="0"/>
          <w:i w:val="0"/>
          <w:iCs w:val="0"/>
          <w:sz w:val="22"/>
          <w:szCs w:val="24"/>
          <w:lang w:val="es-MX"/>
        </w:rPr>
      </w:pPr>
      <w:bookmarkStart w:id="18" w:name="_Toc194650532"/>
      <w:r w:rsidRPr="009217A6">
        <w:rPr>
          <w:b w:val="0"/>
          <w:i w:val="0"/>
          <w:iCs w:val="0"/>
          <w:sz w:val="22"/>
          <w:szCs w:val="24"/>
          <w:lang w:val="es-MX"/>
        </w:rPr>
        <w:t>4.1. ESTRUCTURA FORMAL DE LAS PREGUNTAS DEL CONTRA INTERROGATORIO</w:t>
      </w:r>
      <w:bookmarkEnd w:id="18"/>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El éxito de un contra interrogatorio depende de la posibilidad de resaltar exclusivamente aquellos puntos del testimonio en directo que favorecen nuestro caso y en general que nos </w:t>
      </w:r>
      <w:r w:rsidRPr="009217A6">
        <w:rPr>
          <w:rFonts w:ascii="Arial" w:hAnsi="Arial" w:cs="Arial"/>
          <w:sz w:val="22"/>
          <w:lang w:val="es-MX"/>
        </w:rPr>
        <w:lastRenderedPageBreak/>
        <w:t>permita cumplir con los propósitos defensivos y ofensivos del contra interrogatorio; para cumplir con dicho cometido es necesario auxiliarnos de un formato o modelo de preguntas sugestivas, cerradas, breves, sencillas y dirigidas a un solo punto o tema.</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pStyle w:val="Ttulo3"/>
        <w:spacing w:line="360" w:lineRule="auto"/>
        <w:jc w:val="both"/>
        <w:rPr>
          <w:b w:val="0"/>
          <w:iCs/>
          <w:sz w:val="22"/>
          <w:szCs w:val="24"/>
          <w:lang w:val="es-MX"/>
        </w:rPr>
      </w:pPr>
      <w:bookmarkStart w:id="19" w:name="_Toc194650533"/>
      <w:r w:rsidRPr="009217A6">
        <w:rPr>
          <w:b w:val="0"/>
          <w:iCs/>
          <w:sz w:val="22"/>
          <w:szCs w:val="24"/>
          <w:lang w:val="es-MX"/>
        </w:rPr>
        <w:t>4.1.1.- PREGUNTAS SUGESTIVAS:</w:t>
      </w:r>
      <w:bookmarkEnd w:id="19"/>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“Una pregunta es sugestiva cuando la misma sugiere o fuerza el contenido de la repuesta”.</w:t>
      </w:r>
      <w:r w:rsidRPr="009217A6">
        <w:rPr>
          <w:rStyle w:val="Refdenotaalpie"/>
          <w:rFonts w:ascii="Arial" w:hAnsi="Arial" w:cs="Arial"/>
          <w:sz w:val="22"/>
          <w:lang w:val="es-MX"/>
        </w:rPr>
        <w:footnoteReference w:id="26"/>
      </w:r>
      <w:proofErr w:type="spellStart"/>
      <w:r w:rsidRPr="009217A6">
        <w:rPr>
          <w:rFonts w:ascii="Arial" w:hAnsi="Arial" w:cs="Arial"/>
          <w:sz w:val="22"/>
          <w:lang w:val="es-MX"/>
        </w:rPr>
        <w:t>Por que</w:t>
      </w:r>
      <w:proofErr w:type="spellEnd"/>
      <w:r w:rsidRPr="009217A6">
        <w:rPr>
          <w:rFonts w:ascii="Arial" w:hAnsi="Arial" w:cs="Arial"/>
          <w:sz w:val="22"/>
          <w:lang w:val="es-MX"/>
        </w:rPr>
        <w:t xml:space="preserve"> “La pregunta sugestiva requiere únicamente un si o un no como contestación por lo que impide o hace menos probable que el testigo explique su contestación”.</w:t>
      </w:r>
      <w:r w:rsidRPr="009217A6">
        <w:rPr>
          <w:rStyle w:val="Refdenotaalpie"/>
          <w:rFonts w:ascii="Arial" w:hAnsi="Arial" w:cs="Arial"/>
          <w:sz w:val="22"/>
          <w:lang w:val="es-MX"/>
        </w:rPr>
        <w:footnoteReference w:id="27"/>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Sobre esta base la pregunta sugestiva es una interrogante por medio de la cual el abogado sugiere, limita y circunscribe la respuesta de un testigo sobre un determinado tema para que este lo confirme o niegue con un si o un no.</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La razón de ser del uso de la </w:t>
      </w:r>
      <w:proofErr w:type="spellStart"/>
      <w:r w:rsidRPr="009217A6">
        <w:rPr>
          <w:rFonts w:ascii="Arial" w:hAnsi="Arial" w:cs="Arial"/>
          <w:sz w:val="22"/>
          <w:lang w:val="es-MX"/>
        </w:rPr>
        <w:t>sugestividad</w:t>
      </w:r>
      <w:proofErr w:type="spellEnd"/>
      <w:r w:rsidRPr="009217A6">
        <w:rPr>
          <w:rFonts w:ascii="Arial" w:hAnsi="Arial" w:cs="Arial"/>
          <w:sz w:val="22"/>
          <w:lang w:val="es-MX"/>
        </w:rPr>
        <w:t xml:space="preserve"> en el contra interrogatorio, es consecuencia de lo adversativo y contradictorio del proceso penal, porque al momento de desarrollarse el interrogatorio directo el testigo por ser afín al abogado que lo interroga, colabora, brindándole la información requerida por aquel en miras de acreditar sus proposiciones fácticas; todo lo contrario ocurre en el contra interrogatorio, que por no existir afinidad entre el testigo y el contra interrogador, se da una cierta falta de disponibilidad de aquel hacia este, situación que generaría desventaja para el abogado contra interrogador de proscribirse la </w:t>
      </w:r>
      <w:proofErr w:type="spellStart"/>
      <w:r w:rsidRPr="009217A6">
        <w:rPr>
          <w:rFonts w:ascii="Arial" w:hAnsi="Arial" w:cs="Arial"/>
          <w:sz w:val="22"/>
          <w:lang w:val="es-MX"/>
        </w:rPr>
        <w:t>sugestividad</w:t>
      </w:r>
      <w:proofErr w:type="spellEnd"/>
      <w:r w:rsidRPr="009217A6">
        <w:rPr>
          <w:rFonts w:ascii="Arial" w:hAnsi="Arial" w:cs="Arial"/>
          <w:sz w:val="22"/>
          <w:lang w:val="es-MX"/>
        </w:rPr>
        <w:t>, ya que ese tipo de pregunta permite al abogado limitar al testigo a responder sobre un determinado tema de la declaración brindada; fin que no se conseguiría con una pregunta abierta; porque al ser un testigo hostil se aprovecharía del margen que le da la pregunta para extenderse en su respuesta y así evadir el tema en concreto que el abogado aborda en su pregunta; situación que se evita con el uso de preguntas sugestivas.</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De ahí que se diga que también “Son preguntas sugestivas porque llevan el contenido de los hechos ya declarados por el testigo, pero presentados desde la óptica del sujeto procesal </w:t>
      </w:r>
      <w:r w:rsidRPr="009217A6">
        <w:rPr>
          <w:rFonts w:ascii="Arial" w:hAnsi="Arial" w:cs="Arial"/>
          <w:sz w:val="22"/>
          <w:lang w:val="es-MX"/>
        </w:rPr>
        <w:lastRenderedPageBreak/>
        <w:t>opositor para que el testigo asienta en ellos”.</w:t>
      </w:r>
      <w:r w:rsidRPr="009217A6">
        <w:rPr>
          <w:rStyle w:val="Refdenotaalpie"/>
          <w:rFonts w:ascii="Arial" w:hAnsi="Arial" w:cs="Arial"/>
          <w:sz w:val="22"/>
          <w:lang w:val="es-MX"/>
        </w:rPr>
        <w:footnoteReference w:id="28"/>
      </w:r>
      <w:r w:rsidRPr="009217A6">
        <w:rPr>
          <w:rFonts w:ascii="Arial" w:hAnsi="Arial" w:cs="Arial"/>
          <w:sz w:val="22"/>
          <w:lang w:val="es-MX"/>
        </w:rPr>
        <w:t xml:space="preserve"> En otras palabras el abogado haciendo uso de la </w:t>
      </w:r>
      <w:proofErr w:type="spellStart"/>
      <w:r w:rsidRPr="009217A6">
        <w:rPr>
          <w:rFonts w:ascii="Arial" w:hAnsi="Arial" w:cs="Arial"/>
          <w:sz w:val="22"/>
          <w:lang w:val="es-MX"/>
        </w:rPr>
        <w:t>sugestividad</w:t>
      </w:r>
      <w:proofErr w:type="spellEnd"/>
      <w:r w:rsidRPr="009217A6">
        <w:rPr>
          <w:rFonts w:ascii="Arial" w:hAnsi="Arial" w:cs="Arial"/>
          <w:sz w:val="22"/>
          <w:lang w:val="es-MX"/>
        </w:rPr>
        <w:t xml:space="preserve"> puede realizar un contra interrogatorio temático, dirigido a ciertos temas en concreto testificados por el declarante en el interrogatorio directo.</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spacing w:line="360" w:lineRule="auto"/>
        <w:ind w:firstLine="360"/>
        <w:jc w:val="both"/>
        <w:rPr>
          <w:rFonts w:ascii="Arial" w:hAnsi="Arial" w:cs="Arial"/>
          <w:sz w:val="22"/>
          <w:lang w:val="es-MX"/>
        </w:rPr>
      </w:pPr>
      <w:r w:rsidRPr="009217A6">
        <w:rPr>
          <w:rFonts w:ascii="Arial" w:hAnsi="Arial" w:cs="Arial"/>
          <w:sz w:val="22"/>
          <w:lang w:val="es-MX"/>
        </w:rPr>
        <w:t xml:space="preserve"> “La estructura de una pregunta sugestiva requiere que se le presente al testigo una aseveración como tal (169). Ejemplos de preguntas con estructura de su </w:t>
      </w:r>
      <w:proofErr w:type="spellStart"/>
      <w:r w:rsidRPr="009217A6">
        <w:rPr>
          <w:rFonts w:ascii="Arial" w:hAnsi="Arial" w:cs="Arial"/>
          <w:sz w:val="22"/>
          <w:lang w:val="es-MX"/>
        </w:rPr>
        <w:t>sugestividad</w:t>
      </w:r>
      <w:proofErr w:type="spellEnd"/>
      <w:r w:rsidRPr="009217A6">
        <w:rPr>
          <w:rFonts w:ascii="Arial" w:hAnsi="Arial" w:cs="Arial"/>
          <w:sz w:val="22"/>
          <w:lang w:val="es-MX"/>
        </w:rPr>
        <w:t xml:space="preserve"> son las siguientes: </w:t>
      </w:r>
    </w:p>
    <w:p w:rsidR="0093314D" w:rsidRPr="009217A6" w:rsidRDefault="0093314D" w:rsidP="0093314D">
      <w:pPr>
        <w:spacing w:line="360" w:lineRule="auto"/>
        <w:ind w:firstLine="360"/>
        <w:jc w:val="both"/>
        <w:rPr>
          <w:rFonts w:ascii="Arial" w:hAnsi="Arial" w:cs="Arial"/>
          <w:sz w:val="22"/>
          <w:lang w:val="es-MX"/>
        </w:rPr>
      </w:pPr>
    </w:p>
    <w:p w:rsidR="0093314D" w:rsidRPr="009217A6" w:rsidRDefault="0093314D" w:rsidP="009442AA">
      <w:pPr>
        <w:numPr>
          <w:ilvl w:val="0"/>
          <w:numId w:val="4"/>
        </w:numPr>
        <w:spacing w:line="360" w:lineRule="auto"/>
        <w:jc w:val="both"/>
        <w:rPr>
          <w:rFonts w:ascii="Arial" w:hAnsi="Arial" w:cs="Arial"/>
          <w:sz w:val="22"/>
          <w:lang w:val="es-MX"/>
        </w:rPr>
      </w:pPr>
      <w:r w:rsidRPr="009217A6">
        <w:rPr>
          <w:rFonts w:ascii="Arial" w:hAnsi="Arial" w:cs="Arial"/>
          <w:sz w:val="22"/>
          <w:lang w:val="es-MX"/>
        </w:rPr>
        <w:t>Lo cierto es (expresar la aseveración);</w:t>
      </w:r>
    </w:p>
    <w:p w:rsidR="0093314D" w:rsidRPr="009217A6" w:rsidRDefault="0093314D" w:rsidP="009442AA">
      <w:pPr>
        <w:numPr>
          <w:ilvl w:val="0"/>
          <w:numId w:val="4"/>
        </w:numPr>
        <w:spacing w:line="360" w:lineRule="auto"/>
        <w:jc w:val="both"/>
        <w:rPr>
          <w:rFonts w:ascii="Arial" w:hAnsi="Arial" w:cs="Arial"/>
          <w:sz w:val="22"/>
          <w:lang w:val="es-MX"/>
        </w:rPr>
      </w:pPr>
      <w:r w:rsidRPr="009217A6">
        <w:rPr>
          <w:rFonts w:ascii="Arial" w:hAnsi="Arial" w:cs="Arial"/>
          <w:sz w:val="22"/>
          <w:lang w:val="es-MX"/>
        </w:rPr>
        <w:t>Dígame si es o no cierto (expresar la aseveración);</w:t>
      </w:r>
    </w:p>
    <w:p w:rsidR="0093314D" w:rsidRPr="009217A6" w:rsidRDefault="0093314D" w:rsidP="009442AA">
      <w:pPr>
        <w:numPr>
          <w:ilvl w:val="0"/>
          <w:numId w:val="4"/>
        </w:numPr>
        <w:spacing w:line="360" w:lineRule="auto"/>
        <w:jc w:val="both"/>
        <w:rPr>
          <w:rFonts w:ascii="Arial" w:hAnsi="Arial" w:cs="Arial"/>
          <w:sz w:val="22"/>
          <w:lang w:val="es-MX"/>
        </w:rPr>
      </w:pPr>
      <w:r w:rsidRPr="009217A6">
        <w:rPr>
          <w:rFonts w:ascii="Arial" w:hAnsi="Arial" w:cs="Arial"/>
          <w:sz w:val="22"/>
          <w:lang w:val="es-MX"/>
        </w:rPr>
        <w:t>(expresar la aseveración) es eso correcto;</w:t>
      </w:r>
    </w:p>
    <w:p w:rsidR="0093314D" w:rsidRPr="009217A6" w:rsidRDefault="0093314D" w:rsidP="009442AA">
      <w:pPr>
        <w:numPr>
          <w:ilvl w:val="0"/>
          <w:numId w:val="4"/>
        </w:numPr>
        <w:spacing w:line="360" w:lineRule="auto"/>
        <w:jc w:val="both"/>
        <w:rPr>
          <w:rFonts w:ascii="Arial" w:hAnsi="Arial" w:cs="Arial"/>
          <w:sz w:val="22"/>
          <w:lang w:val="es-MX"/>
        </w:rPr>
      </w:pPr>
      <w:r w:rsidRPr="009217A6">
        <w:rPr>
          <w:rFonts w:ascii="Arial" w:hAnsi="Arial" w:cs="Arial"/>
          <w:sz w:val="22"/>
          <w:lang w:val="es-MX"/>
        </w:rPr>
        <w:t>No es un hecho (expresar la aseveración);</w:t>
      </w:r>
    </w:p>
    <w:p w:rsidR="0093314D" w:rsidRPr="009217A6" w:rsidRDefault="0093314D" w:rsidP="009442AA">
      <w:pPr>
        <w:numPr>
          <w:ilvl w:val="0"/>
          <w:numId w:val="4"/>
        </w:numPr>
        <w:spacing w:line="360" w:lineRule="auto"/>
        <w:jc w:val="both"/>
        <w:rPr>
          <w:rFonts w:ascii="Arial" w:hAnsi="Arial" w:cs="Arial"/>
          <w:sz w:val="22"/>
          <w:lang w:val="es-MX"/>
        </w:rPr>
      </w:pPr>
      <w:r w:rsidRPr="009217A6">
        <w:rPr>
          <w:rFonts w:ascii="Arial" w:hAnsi="Arial" w:cs="Arial"/>
          <w:sz w:val="22"/>
          <w:lang w:val="es-MX"/>
        </w:rPr>
        <w:t>(expresar la aseveración ) si o no;</w:t>
      </w:r>
    </w:p>
    <w:p w:rsidR="0093314D" w:rsidRPr="009217A6" w:rsidRDefault="0093314D" w:rsidP="009442AA">
      <w:pPr>
        <w:numPr>
          <w:ilvl w:val="0"/>
          <w:numId w:val="4"/>
        </w:numPr>
        <w:spacing w:line="360" w:lineRule="auto"/>
        <w:jc w:val="both"/>
        <w:rPr>
          <w:rFonts w:ascii="Arial" w:hAnsi="Arial" w:cs="Arial"/>
          <w:sz w:val="22"/>
          <w:lang w:val="es-MX"/>
        </w:rPr>
      </w:pPr>
      <w:r w:rsidRPr="009217A6">
        <w:rPr>
          <w:rFonts w:ascii="Arial" w:hAnsi="Arial" w:cs="Arial"/>
          <w:sz w:val="22"/>
          <w:lang w:val="es-MX"/>
        </w:rPr>
        <w:t>(expresar la aseveración solamente)</w:t>
      </w:r>
      <w:r w:rsidRPr="009217A6">
        <w:rPr>
          <w:rStyle w:val="Refdenotaalpie"/>
          <w:rFonts w:ascii="Arial" w:hAnsi="Arial" w:cs="Arial"/>
          <w:sz w:val="22"/>
          <w:lang w:val="es-MX"/>
        </w:rPr>
        <w:footnoteReference w:id="29"/>
      </w:r>
    </w:p>
    <w:p w:rsidR="0093314D" w:rsidRPr="009217A6" w:rsidRDefault="0093314D" w:rsidP="0093314D">
      <w:pPr>
        <w:spacing w:line="360" w:lineRule="auto"/>
        <w:ind w:left="360"/>
        <w:jc w:val="both"/>
        <w:rPr>
          <w:rFonts w:ascii="Arial" w:hAnsi="Arial" w:cs="Arial"/>
          <w:sz w:val="22"/>
          <w:lang w:val="es-MX"/>
        </w:rPr>
      </w:pPr>
    </w:p>
    <w:p w:rsidR="0093314D" w:rsidRPr="009217A6" w:rsidRDefault="0093314D" w:rsidP="0093314D">
      <w:pPr>
        <w:spacing w:line="360" w:lineRule="auto"/>
        <w:ind w:firstLine="360"/>
        <w:jc w:val="both"/>
        <w:rPr>
          <w:rFonts w:ascii="Arial" w:hAnsi="Arial" w:cs="Arial"/>
          <w:sz w:val="22"/>
          <w:lang w:val="es-MX"/>
        </w:rPr>
      </w:pPr>
      <w:r w:rsidRPr="009217A6">
        <w:rPr>
          <w:rFonts w:ascii="Arial" w:hAnsi="Arial" w:cs="Arial"/>
          <w:sz w:val="22"/>
          <w:lang w:val="es-MX"/>
        </w:rPr>
        <w:t xml:space="preserve">Para efecto de ilustrar al lector sobre el anterior esquema, formulamos un ejemplo por cada una de los formatos de </w:t>
      </w:r>
      <w:proofErr w:type="spellStart"/>
      <w:r w:rsidRPr="009217A6">
        <w:rPr>
          <w:rFonts w:ascii="Arial" w:hAnsi="Arial" w:cs="Arial"/>
          <w:sz w:val="22"/>
          <w:lang w:val="es-MX"/>
        </w:rPr>
        <w:t>sugestividad</w:t>
      </w:r>
      <w:proofErr w:type="spellEnd"/>
      <w:r w:rsidRPr="009217A6">
        <w:rPr>
          <w:rFonts w:ascii="Arial" w:hAnsi="Arial" w:cs="Arial"/>
          <w:sz w:val="22"/>
          <w:lang w:val="es-MX"/>
        </w:rPr>
        <w:t xml:space="preserve"> antes relacionados; tomando de base el mismo caso del interrogatorio directo:</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442AA">
      <w:pPr>
        <w:numPr>
          <w:ilvl w:val="0"/>
          <w:numId w:val="5"/>
        </w:numPr>
        <w:spacing w:line="360" w:lineRule="auto"/>
        <w:jc w:val="both"/>
        <w:rPr>
          <w:rFonts w:ascii="Arial" w:hAnsi="Arial" w:cs="Arial"/>
          <w:sz w:val="22"/>
          <w:lang w:val="es-MX"/>
        </w:rPr>
      </w:pPr>
      <w:r w:rsidRPr="009217A6">
        <w:rPr>
          <w:rFonts w:ascii="Arial" w:hAnsi="Arial" w:cs="Arial"/>
          <w:sz w:val="22"/>
          <w:lang w:val="es-MX"/>
        </w:rPr>
        <w:t>Lo cierto es que usted escuchó unos gritos siendo cabales las 6:30 a.m.;</w:t>
      </w:r>
    </w:p>
    <w:p w:rsidR="0093314D" w:rsidRPr="009217A6" w:rsidRDefault="0093314D" w:rsidP="009442AA">
      <w:pPr>
        <w:numPr>
          <w:ilvl w:val="0"/>
          <w:numId w:val="5"/>
        </w:numPr>
        <w:spacing w:line="360" w:lineRule="auto"/>
        <w:jc w:val="both"/>
        <w:rPr>
          <w:rFonts w:ascii="Arial" w:hAnsi="Arial" w:cs="Arial"/>
          <w:sz w:val="22"/>
          <w:lang w:val="es-MX"/>
        </w:rPr>
      </w:pPr>
      <w:r w:rsidRPr="009217A6">
        <w:rPr>
          <w:rFonts w:ascii="Arial" w:hAnsi="Arial" w:cs="Arial"/>
          <w:sz w:val="22"/>
          <w:lang w:val="es-MX"/>
        </w:rPr>
        <w:t>Dígame si es o no cierto que usted escuchó unos gritos siendo cabales las 6:30 a.m.;</w:t>
      </w:r>
    </w:p>
    <w:p w:rsidR="0093314D" w:rsidRPr="009217A6" w:rsidRDefault="0093314D" w:rsidP="009442AA">
      <w:pPr>
        <w:numPr>
          <w:ilvl w:val="0"/>
          <w:numId w:val="5"/>
        </w:numPr>
        <w:spacing w:line="360" w:lineRule="auto"/>
        <w:jc w:val="both"/>
        <w:rPr>
          <w:rFonts w:ascii="Arial" w:hAnsi="Arial" w:cs="Arial"/>
          <w:sz w:val="22"/>
          <w:lang w:val="es-MX"/>
        </w:rPr>
      </w:pPr>
      <w:r w:rsidRPr="009217A6">
        <w:rPr>
          <w:rFonts w:ascii="Arial" w:hAnsi="Arial" w:cs="Arial"/>
          <w:sz w:val="22"/>
          <w:lang w:val="es-MX"/>
        </w:rPr>
        <w:t>Usted escuchó unos gritos siendo cabales las 6:30 a.m., es eso correcto;</w:t>
      </w:r>
    </w:p>
    <w:p w:rsidR="0093314D" w:rsidRPr="009217A6" w:rsidRDefault="0093314D" w:rsidP="009442AA">
      <w:pPr>
        <w:numPr>
          <w:ilvl w:val="0"/>
          <w:numId w:val="5"/>
        </w:numPr>
        <w:spacing w:line="360" w:lineRule="auto"/>
        <w:jc w:val="both"/>
        <w:rPr>
          <w:rFonts w:ascii="Arial" w:hAnsi="Arial" w:cs="Arial"/>
          <w:sz w:val="22"/>
          <w:lang w:val="es-MX"/>
        </w:rPr>
      </w:pPr>
      <w:r w:rsidRPr="009217A6">
        <w:rPr>
          <w:rFonts w:ascii="Arial" w:hAnsi="Arial" w:cs="Arial"/>
          <w:sz w:val="22"/>
          <w:lang w:val="es-MX"/>
        </w:rPr>
        <w:t>No es un hecho que usted escuchó unos gritos siendo cabales las 6:30 a.m.;</w:t>
      </w:r>
    </w:p>
    <w:p w:rsidR="0093314D" w:rsidRPr="009217A6" w:rsidRDefault="0093314D" w:rsidP="009442AA">
      <w:pPr>
        <w:numPr>
          <w:ilvl w:val="0"/>
          <w:numId w:val="5"/>
        </w:numPr>
        <w:spacing w:line="360" w:lineRule="auto"/>
        <w:jc w:val="both"/>
        <w:rPr>
          <w:rFonts w:ascii="Arial" w:hAnsi="Arial" w:cs="Arial"/>
          <w:sz w:val="22"/>
          <w:lang w:val="es-MX"/>
        </w:rPr>
      </w:pPr>
      <w:r w:rsidRPr="009217A6">
        <w:rPr>
          <w:rFonts w:ascii="Arial" w:hAnsi="Arial" w:cs="Arial"/>
          <w:sz w:val="22"/>
          <w:lang w:val="es-MX"/>
        </w:rPr>
        <w:t>Usted escuchó unos gritos siendo cabales las 6:30 a.m., si o no;</w:t>
      </w:r>
    </w:p>
    <w:p w:rsidR="0093314D" w:rsidRPr="009217A6" w:rsidRDefault="0093314D" w:rsidP="009442AA">
      <w:pPr>
        <w:numPr>
          <w:ilvl w:val="0"/>
          <w:numId w:val="5"/>
        </w:numPr>
        <w:spacing w:line="360" w:lineRule="auto"/>
        <w:jc w:val="both"/>
        <w:rPr>
          <w:rFonts w:ascii="Arial" w:hAnsi="Arial" w:cs="Arial"/>
          <w:sz w:val="22"/>
          <w:lang w:val="es-MX"/>
        </w:rPr>
      </w:pPr>
      <w:r w:rsidRPr="009217A6">
        <w:rPr>
          <w:rFonts w:ascii="Arial" w:hAnsi="Arial" w:cs="Arial"/>
          <w:sz w:val="22"/>
          <w:lang w:val="es-MX"/>
        </w:rPr>
        <w:t>Usted escuchó unos gritos siendo cabales las 6:30 A.M.</w:t>
      </w:r>
    </w:p>
    <w:p w:rsidR="0093314D" w:rsidRPr="009217A6" w:rsidRDefault="0093314D" w:rsidP="0093314D">
      <w:pPr>
        <w:pStyle w:val="Ttulo3"/>
        <w:spacing w:line="360" w:lineRule="auto"/>
        <w:jc w:val="both"/>
        <w:rPr>
          <w:b w:val="0"/>
          <w:iCs/>
          <w:sz w:val="22"/>
          <w:szCs w:val="24"/>
          <w:lang w:val="es-MX"/>
        </w:rPr>
      </w:pPr>
      <w:bookmarkStart w:id="20" w:name="_Toc194650534"/>
      <w:r w:rsidRPr="009217A6">
        <w:rPr>
          <w:b w:val="0"/>
          <w:iCs/>
          <w:sz w:val="22"/>
          <w:szCs w:val="24"/>
          <w:lang w:val="es-MX"/>
        </w:rPr>
        <w:t>4.1.2. PREGUNTAS DE UN SOLO PUNTO</w:t>
      </w:r>
      <w:bookmarkEnd w:id="20"/>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La interrogante a formular en el contra interrogatorio debe estar dirigida a obtener en su respuesta un solo fragmento de la declaración del testigo, no dos o más, porque de lo contrario el abogado obtendría consecuencias desastrosas en su contra interrogatorio, tales como: </w:t>
      </w:r>
      <w:r w:rsidRPr="009217A6">
        <w:rPr>
          <w:rFonts w:ascii="Arial" w:hAnsi="Arial" w:cs="Arial"/>
          <w:sz w:val="22"/>
          <w:lang w:val="es-MX"/>
        </w:rPr>
        <w:lastRenderedPageBreak/>
        <w:t>posibles objeciones bajo el argumento de ser una pregunta compuesta, pérdida del control a la respuesta del testigo, falta de persuasión y claridad de los puntos que quiere resaltar; de ahí que lo mejor sea orientar nuestro contra interrogatorio a puntos específicos que beneficien nuestro caso. A continuación se plantea un ejemplo de este tipo de pregunta, en un caso, que un abogado defensor quiere resaltar la falta de cualidades testifícales del testigo de la fiscalía, por que en el momento en que ocurrieron los hechos estaba lloviendo y había neblina.</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 xml:space="preserve">ABOGADO: Verdad que el día 11 de Agosto de </w:t>
      </w:r>
      <w:smartTag w:uri="urn:schemas-microsoft-com:office:smarttags" w:element="metricconverter">
        <w:smartTagPr>
          <w:attr w:name="ProductID" w:val="2004 a"/>
        </w:smartTagPr>
        <w:r w:rsidRPr="009217A6">
          <w:rPr>
            <w:rFonts w:ascii="Arial" w:hAnsi="Arial" w:cs="Arial"/>
            <w:sz w:val="22"/>
            <w:lang w:val="es-MX"/>
          </w:rPr>
          <w:t>2004 a</w:t>
        </w:r>
      </w:smartTag>
      <w:r w:rsidRPr="009217A6">
        <w:rPr>
          <w:rFonts w:ascii="Arial" w:hAnsi="Arial" w:cs="Arial"/>
          <w:sz w:val="22"/>
          <w:lang w:val="es-MX"/>
        </w:rPr>
        <w:t xml:space="preserve"> eso de las 6:30 a.m. estaba lloviendo, ¿si o no? </w:t>
      </w: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TESTIGO: Si</w:t>
      </w: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ABOGADO: Lo cierto es que en esa misma fecha y hora había neblina, ¿si o no?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Caso contrario, es que el abogado resalte esos dos puntos (la lluvia y la neblina), en una sola pregunta, como se plantea a continuación:</w:t>
      </w: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 xml:space="preserve">ABOGADO: Verdad que el día 11 de Agosto de </w:t>
      </w:r>
      <w:smartTag w:uri="urn:schemas-microsoft-com:office:smarttags" w:element="metricconverter">
        <w:smartTagPr>
          <w:attr w:name="ProductID" w:val="2004 a"/>
        </w:smartTagPr>
        <w:r w:rsidRPr="009217A6">
          <w:rPr>
            <w:rFonts w:ascii="Arial" w:hAnsi="Arial" w:cs="Arial"/>
            <w:sz w:val="22"/>
            <w:lang w:val="es-MX"/>
          </w:rPr>
          <w:t>2004 a</w:t>
        </w:r>
      </w:smartTag>
      <w:r w:rsidRPr="009217A6">
        <w:rPr>
          <w:rFonts w:ascii="Arial" w:hAnsi="Arial" w:cs="Arial"/>
          <w:sz w:val="22"/>
          <w:lang w:val="es-MX"/>
        </w:rPr>
        <w:t xml:space="preserve"> eso de las 6:30 a.m. estaba lloviendo y además había neblina, ¿si o no?</w:t>
      </w: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TESTIGO: Si.</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Nótese, que en la primera forma, el abogado dirige cada una de sus preguntas a un solo punto en específico, caso contrario en el segundo modelo en el que el abogado, resalta dos puntos en una sola pregunta, situación que es incorrecta por los motivos antes expresados. </w:t>
      </w:r>
    </w:p>
    <w:p w:rsidR="0093314D" w:rsidRPr="009217A6" w:rsidRDefault="0093314D" w:rsidP="0093314D">
      <w:pPr>
        <w:pStyle w:val="Ttulo3"/>
        <w:spacing w:line="360" w:lineRule="auto"/>
        <w:jc w:val="both"/>
        <w:rPr>
          <w:b w:val="0"/>
          <w:iCs/>
          <w:sz w:val="22"/>
          <w:szCs w:val="24"/>
          <w:lang w:val="es-MX"/>
        </w:rPr>
      </w:pPr>
      <w:bookmarkStart w:id="21" w:name="_Toc194650535"/>
      <w:r w:rsidRPr="009217A6">
        <w:rPr>
          <w:b w:val="0"/>
          <w:iCs/>
          <w:sz w:val="22"/>
          <w:szCs w:val="24"/>
          <w:lang w:val="es-MX"/>
        </w:rPr>
        <w:t>4.1.3. PREGUNTAS BREVES</w:t>
      </w:r>
      <w:bookmarkEnd w:id="21"/>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Si partimos de las premisas, que en el interrogatorio examinamos a un testigo adverso a nuestra parte, y que la mayoría de su testimonio nos desfavorece; y por ello únicamente retomamos puntos concretos; llegaremos a la conclusión que en nuestro contra interrogatorio debemos formular preguntas breves y no extensas, pues así evitamos confundir al testigo, y facilitamos que responda lo que queremos; además evadimos las posibles objeciones de la contraparte bajo el argumento de ser la pregunta, compuesta o ambigua , y también prevenimos un efectivo interrogatorio </w:t>
      </w:r>
      <w:proofErr w:type="spellStart"/>
      <w:r w:rsidRPr="009217A6">
        <w:rPr>
          <w:rFonts w:ascii="Arial" w:hAnsi="Arial" w:cs="Arial"/>
          <w:sz w:val="22"/>
          <w:lang w:val="es-MX"/>
        </w:rPr>
        <w:t>redirecto</w:t>
      </w:r>
      <w:proofErr w:type="spellEnd"/>
      <w:r w:rsidRPr="009217A6">
        <w:rPr>
          <w:rFonts w:ascii="Arial" w:hAnsi="Arial" w:cs="Arial"/>
          <w:sz w:val="22"/>
          <w:lang w:val="es-MX"/>
        </w:rPr>
        <w:t xml:space="preserve"> de la parte contraria; y sobre todo se mantiene el interés del juzgador, pues con preguntas extensas se le aburre y aleja su atención de nuestros objetivos.</w:t>
      </w:r>
    </w:p>
    <w:p w:rsidR="0093314D" w:rsidRPr="009217A6" w:rsidRDefault="0093314D" w:rsidP="0093314D">
      <w:pPr>
        <w:pStyle w:val="Ttulo3"/>
        <w:spacing w:line="360" w:lineRule="auto"/>
        <w:jc w:val="both"/>
        <w:rPr>
          <w:b w:val="0"/>
          <w:iCs/>
          <w:sz w:val="22"/>
          <w:szCs w:val="24"/>
          <w:lang w:val="es-MX"/>
        </w:rPr>
      </w:pPr>
      <w:bookmarkStart w:id="22" w:name="_Toc194650536"/>
      <w:r w:rsidRPr="009217A6">
        <w:rPr>
          <w:b w:val="0"/>
          <w:iCs/>
          <w:sz w:val="22"/>
          <w:szCs w:val="24"/>
          <w:lang w:val="es-MX"/>
        </w:rPr>
        <w:t>4.1.4. PREGUNTAS SENCILLAS</w:t>
      </w:r>
      <w:bookmarkEnd w:id="22"/>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Si lo que pretendemos con el contra interrogatorio es resaltar puntos positivos para nuestra tesis y negativos para el de la contraparte y en consecuencia persuadir y convencer al </w:t>
      </w:r>
      <w:r w:rsidRPr="009217A6">
        <w:rPr>
          <w:rFonts w:ascii="Arial" w:hAnsi="Arial" w:cs="Arial"/>
          <w:sz w:val="22"/>
          <w:lang w:val="es-MX"/>
        </w:rPr>
        <w:lastRenderedPageBreak/>
        <w:t>juzgador sobre la veracidad de nuestras proposiciones fácticas; en consecuencia es necesario formular preguntas claras, sencillas y entendibles, para que en lógica consecuencia las respuestas del testigo sean claras y concretas; y así de esa forma el juzgador pueda percibir sin confusión alguna los objetivos propuestos por el contra interrogador; por ende no deben formularse preguntas complejas y ambiguas que confundan al testigo y provoque respuestas también confusas de su parte, y con ello el juzgador también se confunda, y así el resultado fatal será la falta de persuasión de nuestra caso.</w:t>
      </w:r>
    </w:p>
    <w:p w:rsidR="0093314D" w:rsidRPr="009217A6" w:rsidRDefault="0093314D" w:rsidP="0093314D">
      <w:pPr>
        <w:pStyle w:val="Ttulo3"/>
        <w:spacing w:line="360" w:lineRule="auto"/>
        <w:jc w:val="both"/>
        <w:rPr>
          <w:b w:val="0"/>
          <w:iCs/>
          <w:sz w:val="22"/>
          <w:szCs w:val="24"/>
          <w:lang w:val="es-MX"/>
        </w:rPr>
      </w:pPr>
      <w:bookmarkStart w:id="23" w:name="_Toc194650537"/>
      <w:r w:rsidRPr="009217A6">
        <w:rPr>
          <w:b w:val="0"/>
          <w:iCs/>
          <w:sz w:val="22"/>
          <w:szCs w:val="24"/>
          <w:lang w:val="es-MX"/>
        </w:rPr>
        <w:t xml:space="preserve">4.1.5. ADMISIBILIDAD DE </w:t>
      </w:r>
      <w:smartTag w:uri="urn:schemas-microsoft-com:office:smarttags" w:element="PersonName">
        <w:smartTagPr>
          <w:attr w:name="ProductID" w:val="LA PREGUNTA ABIERTA"/>
        </w:smartTagPr>
        <w:r w:rsidRPr="009217A6">
          <w:rPr>
            <w:b w:val="0"/>
            <w:iCs/>
            <w:sz w:val="22"/>
            <w:szCs w:val="24"/>
            <w:lang w:val="es-MX"/>
          </w:rPr>
          <w:t>LA PREGUNTA ABIERTA</w:t>
        </w:r>
      </w:smartTag>
      <w:r w:rsidRPr="009217A6">
        <w:rPr>
          <w:b w:val="0"/>
          <w:iCs/>
          <w:sz w:val="22"/>
          <w:szCs w:val="24"/>
          <w:lang w:val="es-MX"/>
        </w:rPr>
        <w:t xml:space="preserve"> PARA CUESTIONES NO RELEVANTES DEL LITIGIO</w:t>
      </w:r>
      <w:bookmarkEnd w:id="23"/>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Como dijimos anteriormente la pregunta abierta “es aquella que basa una explicación del testigo en sus propias palabras sobre un tena, circunstancia, momento o evento específico”; </w:t>
      </w:r>
      <w:r w:rsidRPr="009217A6">
        <w:rPr>
          <w:rStyle w:val="Refdenotaalpie"/>
          <w:rFonts w:ascii="Arial" w:hAnsi="Arial" w:cs="Arial"/>
          <w:sz w:val="22"/>
          <w:lang w:val="es-MX"/>
        </w:rPr>
        <w:footnoteReference w:id="30"/>
      </w:r>
      <w:r w:rsidRPr="009217A6">
        <w:rPr>
          <w:rFonts w:ascii="Arial" w:hAnsi="Arial" w:cs="Arial"/>
          <w:sz w:val="22"/>
          <w:lang w:val="es-MX"/>
        </w:rPr>
        <w:t xml:space="preserve"> es decir que en este tipo de interrogantes, por el ámbito de las mismas, se permite al testigo expresarse o contestar ampliamente; lo que en un interrogatorio puede ser fatal, pues obviamente al ser un testigo contrario a nosotros, la mayoría de sus respuestas serán perjudiciales a nuestro caso; razón por la cual está proscrito por regla general el uso de preguntas abiertas en el contra interrogatorio.</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Y decimos, que como regla general, porque hay excepciones a la misma, en las que puede utilizar preguntas de esa naturaleza, de ahí que “Resulta útil pues, intercalar preguntas abiertas, cuidándonos de que ello se realice en zonas seguras del contra interrogatorio; zonas en las que no requiramos demasiado control (porque sabemos lo que el testigo va a responder y no es demasiado relevante cómo formule esa porción de la información, o bien no tiene posibilidades de formularla de otra manera, o en fin su propia formulación de la realidad favorece nuestra teoría del caso)”.</w:t>
      </w:r>
      <w:r w:rsidRPr="009217A6">
        <w:rPr>
          <w:rStyle w:val="Refdenotaalpie"/>
          <w:rFonts w:ascii="Arial" w:hAnsi="Arial" w:cs="Arial"/>
          <w:sz w:val="22"/>
          <w:lang w:val="es-MX"/>
        </w:rPr>
        <w:footnoteReference w:id="31"/>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Además se sugiere también formular preguntas abiertas, por cuestiones de credibilidad, ya que el hecho de usar solamente preguntas sugestivas, puede despertar sospechas de parte del juzgador, de un trato parcial y no objetivo de nosotros hacia el testigo contra interrogado.</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lastRenderedPageBreak/>
        <w:t>Por lo tanto, en el contra interrogatorio, generalmente se deben utilizar preguntas sugestivas, y excepcionalmente preguntas abiertas, pero en zonas colaterales e irrelevantes que no afecten nuestro caso, en las que podamos controlar al testigo, o tengamos certeza que este mintiendo deliberadamente. Véase el siguiente ejemplo, en el que al testigo se le formula una pregunta abierta, en un área que no perjudica nuestro caso: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ABOGADO: Usted anteriormente nos dijo que laboro en </w:t>
      </w:r>
      <w:smartTag w:uri="urn:schemas-microsoft-com:office:smarttags" w:element="PersonName">
        <w:smartTagPr>
          <w:attr w:name="ProductID" w:val="la Hacienda San"/>
        </w:smartTagPr>
        <w:r w:rsidRPr="009217A6">
          <w:rPr>
            <w:rFonts w:ascii="Arial" w:hAnsi="Arial" w:cs="Arial"/>
            <w:sz w:val="22"/>
            <w:lang w:val="es-MX"/>
          </w:rPr>
          <w:t>la Hacienda San</w:t>
        </w:r>
      </w:smartTag>
      <w:r w:rsidRPr="009217A6">
        <w:rPr>
          <w:rFonts w:ascii="Arial" w:hAnsi="Arial" w:cs="Arial"/>
          <w:sz w:val="22"/>
          <w:lang w:val="es-MX"/>
        </w:rPr>
        <w:t xml:space="preserve"> Antonio, ¿si o no?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TESTIGO: Si</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ABOGADO: Lo cierto es que usted laboro como mozo, ¿si o no?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TESTIGO: Si.</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ABOGADO: ¿Qué labores desempeñaba específicamente como mozo?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TESTIGO: Ordeñar y pastar el ganado y limpiar los potreros.</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Nótese, que la última respuesta brindada por el testigo, es información que no afecta nuestro caso, por haberse formulado la pregunta abierta en una zona de credibilidad y colateral.</w:t>
      </w:r>
    </w:p>
    <w:p w:rsidR="0093314D" w:rsidRPr="009217A6" w:rsidRDefault="0093314D" w:rsidP="0093314D">
      <w:pPr>
        <w:pStyle w:val="Ttulo2"/>
        <w:spacing w:line="360" w:lineRule="auto"/>
        <w:jc w:val="both"/>
        <w:rPr>
          <w:b w:val="0"/>
          <w:i w:val="0"/>
          <w:iCs w:val="0"/>
          <w:sz w:val="22"/>
          <w:szCs w:val="24"/>
          <w:lang w:val="es-MX"/>
        </w:rPr>
      </w:pPr>
      <w:bookmarkStart w:id="24" w:name="_Toc194650538"/>
      <w:r w:rsidRPr="009217A6">
        <w:rPr>
          <w:b w:val="0"/>
          <w:i w:val="0"/>
          <w:iCs w:val="0"/>
          <w:sz w:val="22"/>
          <w:szCs w:val="24"/>
          <w:lang w:val="es-MX"/>
        </w:rPr>
        <w:t>4.2. CLASIFICACIÓN DE LAS PREGUNTAS EN ORDEN A SU SEGURIDAD</w:t>
      </w:r>
      <w:bookmarkEnd w:id="24"/>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Si partimos de la base que el contra interrogatorio es un juego de variables imprevisibles, el que tendremos que enfrentar al testigo de la contraparte, con el que por razones obvias no hemos tenido la oportunidad de conversar previamente al inicio del juicio, y del que no sabemos la respuesta que nos brindará; llegaremos a la conclusión “....... que conviene planear de acuerdo con la evidencia que uno puede proponer, no de acuerdo con las posibles respuestas del testigo”.</w:t>
      </w:r>
      <w:r w:rsidRPr="009217A6">
        <w:rPr>
          <w:rStyle w:val="Refdenotaalpie"/>
          <w:rFonts w:ascii="Arial" w:hAnsi="Arial" w:cs="Arial"/>
          <w:sz w:val="22"/>
          <w:lang w:val="es-MX"/>
        </w:rPr>
        <w:footnoteReference w:id="32"/>
      </w:r>
      <w:r w:rsidRPr="009217A6">
        <w:rPr>
          <w:rFonts w:ascii="Arial" w:hAnsi="Arial" w:cs="Arial"/>
          <w:sz w:val="22"/>
          <w:lang w:val="es-MX"/>
        </w:rPr>
        <w:t>, por las razones antes expuestas.</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Bergman propone un planteamiento de preguntas bajo un modelo de seguridad que “....... delinea las áreas posibles de las repreguntas de acuerdo con nuestra capacidad para refutar una respuesta desfavorable”.</w:t>
      </w:r>
      <w:r w:rsidRPr="009217A6">
        <w:rPr>
          <w:rStyle w:val="Refdenotaalpie"/>
          <w:rFonts w:ascii="Arial" w:hAnsi="Arial" w:cs="Arial"/>
          <w:sz w:val="22"/>
          <w:lang w:val="es-MX"/>
        </w:rPr>
        <w:footnoteReference w:id="33"/>
      </w:r>
      <w:r w:rsidRPr="009217A6">
        <w:rPr>
          <w:rFonts w:ascii="Arial" w:hAnsi="Arial" w:cs="Arial"/>
          <w:sz w:val="22"/>
          <w:lang w:val="es-MX"/>
        </w:rPr>
        <w:t xml:space="preserve"> De ahí la clasificación en preguntas de: Máxima, mediana y mínima seguridad.</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a)  PREGUNTAS DE MAXIMA SEGURIDAD</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lastRenderedPageBreak/>
        <w:t>Son aquellas interrogantes en las que se tenemos certeza de la respuesta que el testigo brindara, y en caso que la misma contraria la lo que esperamos, tenemos evidencia o prueba extrínseca e independiente, para refutarla o contradecirla. Un ejemplo de esta clase de pregunta es el siguiente, en el que un testigo a preguntas de la fiscalía.</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b) PREGUNTAS DE MEDIANA O MEDIA SEGURIDAD</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Son aquellas interrogantes en las que tenemos conocimiento de la respuesta que brindará el testigo, pero en caso que la misma sea adversa a lo que esperamos; contamos únicamente para refutarla con nuestra versión; es decir su palabra CONTRA La nuestra.</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c) PREGUNTAS DE MINIMA SEGURIDAD</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Son aquellas interrogantes en las que el abogado no sabe lo que el testigo responderá a su pregunta, y en caso que la misma sea contraria a lo que él espera carece de evidencia para refutarla.</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spacing w:line="360" w:lineRule="auto"/>
        <w:jc w:val="both"/>
        <w:rPr>
          <w:rFonts w:ascii="Arial" w:hAnsi="Arial" w:cs="Arial"/>
          <w:sz w:val="22"/>
          <w:lang w:val="es-MX"/>
        </w:rPr>
      </w:pPr>
      <w:r w:rsidRPr="009217A6">
        <w:rPr>
          <w:rFonts w:ascii="Arial" w:hAnsi="Arial" w:cs="Arial"/>
          <w:sz w:val="22"/>
          <w:lang w:val="es-MX"/>
        </w:rPr>
        <w:t xml:space="preserve">c.1.) </w:t>
      </w:r>
      <w:smartTag w:uri="urn:schemas-microsoft-com:office:smarttags" w:element="PersonName">
        <w:smartTagPr>
          <w:attr w:name="ProductID" w:val="LA PREGUNTA DE"/>
        </w:smartTagPr>
        <w:smartTag w:uri="urn:schemas-microsoft-com:office:smarttags" w:element="PersonName">
          <w:smartTagPr>
            <w:attr w:name="ProductID" w:val="LA PREGUNTA"/>
          </w:smartTagPr>
          <w:r w:rsidRPr="009217A6">
            <w:rPr>
              <w:rFonts w:ascii="Arial" w:hAnsi="Arial" w:cs="Arial"/>
              <w:sz w:val="22"/>
              <w:lang w:val="es-MX"/>
            </w:rPr>
            <w:t>LA PREGUNTA</w:t>
          </w:r>
        </w:smartTag>
        <w:r w:rsidRPr="009217A6">
          <w:rPr>
            <w:rFonts w:ascii="Arial" w:hAnsi="Arial" w:cs="Arial"/>
            <w:sz w:val="22"/>
            <w:lang w:val="es-MX"/>
          </w:rPr>
          <w:t xml:space="preserve"> DE</w:t>
        </w:r>
      </w:smartTag>
      <w:r w:rsidRPr="009217A6">
        <w:rPr>
          <w:rFonts w:ascii="Arial" w:hAnsi="Arial" w:cs="Arial"/>
          <w:sz w:val="22"/>
          <w:lang w:val="es-MX"/>
        </w:rPr>
        <w:t xml:space="preserve"> MAS</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“Se dice que nunca hay que hacer la última pregunta, porque siempre faltan cosas por extraer del testigo. El riesgo está en que al formularlas se pierda todo lo obtenido en el contra interrogatorio, con una pregunta superflua e innecesaria que permita al testigo rehabilitarse o al juez desenfocarse de lo que ya se ha logrado”.</w:t>
      </w:r>
      <w:r w:rsidRPr="009217A6">
        <w:rPr>
          <w:rStyle w:val="Refdenotaalpie"/>
          <w:rFonts w:ascii="Arial" w:hAnsi="Arial" w:cs="Arial"/>
          <w:sz w:val="22"/>
          <w:lang w:val="es-MX"/>
        </w:rPr>
        <w:footnoteReference w:id="34"/>
      </w:r>
      <w:r w:rsidRPr="009217A6">
        <w:rPr>
          <w:rFonts w:ascii="Arial" w:hAnsi="Arial" w:cs="Arial"/>
          <w:sz w:val="22"/>
          <w:lang w:val="es-MX"/>
        </w:rPr>
        <w:t xml:space="preserve"> Todo esto producto de la inexperiencia y afán de algunos abogados de obtener conclusiones favorables para su caso en el contra interrogatorio, es decir que una, vez destacados los aspectos positivos para su tesis, incurren en la tentación de formular la pregunta de exceso, con la que pretende supuestamente desenmascarar al testigo como mentiroso e inconsistente; situación que lejos de beneficiarlo, lo perjudica, pues obviamente con esa interrogante de más se da oportunidad al testigo contra interrogado y adverso a nosotros, de justificar sus inconsistencias y de restaurar su credibilidad ante el tribunal; situación que se evita cumpliendo con uno de los principios o mandamientos básicos en materia de contra interrogatorio, como lo es “el saber cuando terminar”, ya que eso que se anhela con la pregunta de más; se debe de hacer en el Alegato Final, que será el </w:t>
      </w:r>
      <w:r w:rsidRPr="009217A6">
        <w:rPr>
          <w:rFonts w:ascii="Arial" w:hAnsi="Arial" w:cs="Arial"/>
          <w:sz w:val="22"/>
          <w:lang w:val="es-MX"/>
        </w:rPr>
        <w:lastRenderedPageBreak/>
        <w:t>momento en el que analizaremos y haremos las conclusiones e inferencias pertinentes sobre la declaración mendaz e inconsistente del testigo contra interrogado. A continuación, veamos el siguiente ejemplo, en el que un abogado litigante elabora esa pregunta de más:</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ABOGADO: Verdad que usted a preguntas de la fiscalía, nos dijo que el imputado era rubio, ¿si o no?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TESTIGO: Sí</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ABOGADO: Verdad que usted rindió una entrevista en sede fiscal el día 17 de Julio de este año, ¿si o no?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TESTIGO: Sí</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ABOGADO: Y lo cierto es que usted firmo esa entrevista. ¿Si o no?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TESTIGO: Si</w:t>
      </w:r>
    </w:p>
    <w:p w:rsidR="0093314D" w:rsidRPr="009217A6" w:rsidRDefault="0093314D" w:rsidP="0093314D">
      <w:pPr>
        <w:spacing w:line="360" w:lineRule="auto"/>
        <w:ind w:left="708"/>
        <w:jc w:val="both"/>
        <w:rPr>
          <w:rFonts w:ascii="Arial" w:hAnsi="Arial" w:cs="Arial"/>
          <w:sz w:val="22"/>
          <w:lang w:val="es-MX"/>
        </w:rPr>
      </w:pPr>
      <w:r w:rsidRPr="009217A6">
        <w:rPr>
          <w:rFonts w:ascii="Arial" w:hAnsi="Arial" w:cs="Arial"/>
          <w:sz w:val="22"/>
          <w:lang w:val="es-MX"/>
        </w:rPr>
        <w:t>ABOGADO: Y si yo le muestro esa entrevista usted reconocería su firma, ¿si o no?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TESTIGO: Sí.</w:t>
      </w:r>
    </w:p>
    <w:p w:rsidR="0093314D" w:rsidRPr="009217A6" w:rsidRDefault="0093314D" w:rsidP="0093314D">
      <w:pPr>
        <w:spacing w:line="360" w:lineRule="auto"/>
        <w:ind w:left="708"/>
        <w:jc w:val="both"/>
        <w:rPr>
          <w:rFonts w:ascii="Arial" w:hAnsi="Arial" w:cs="Arial"/>
          <w:sz w:val="22"/>
          <w:lang w:val="es-MX"/>
        </w:rPr>
      </w:pPr>
      <w:r w:rsidRPr="009217A6">
        <w:rPr>
          <w:rFonts w:ascii="Arial" w:hAnsi="Arial" w:cs="Arial"/>
          <w:sz w:val="22"/>
          <w:lang w:val="es-MX"/>
        </w:rPr>
        <w:t>ABOGADO: Su señoría, habiendo sentado las bases, solicitó hacer uso de la entrevista previa en comento para continuar mi línea de contra interrogatorio.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JUEZ: Ha lugar, previa exhibición a la contraparte</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ABOGADO: Solicitó permiso para acercarme al testigo, y mostrarle la entrevista</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JUEZ: Esta autorizado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ABOGADO: Gracias señoría</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ABOGADO: Testigo, es esta su firma, ¿si o no?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TESTIGO: Si</w:t>
      </w:r>
    </w:p>
    <w:p w:rsidR="0093314D" w:rsidRPr="009217A6" w:rsidRDefault="0093314D" w:rsidP="0093314D">
      <w:pPr>
        <w:spacing w:line="360" w:lineRule="auto"/>
        <w:ind w:left="708"/>
        <w:jc w:val="both"/>
        <w:rPr>
          <w:rFonts w:ascii="Arial" w:hAnsi="Arial" w:cs="Arial"/>
          <w:sz w:val="22"/>
          <w:lang w:val="es-MX"/>
        </w:rPr>
      </w:pPr>
      <w:r w:rsidRPr="009217A6">
        <w:rPr>
          <w:rFonts w:ascii="Arial" w:hAnsi="Arial" w:cs="Arial"/>
          <w:sz w:val="22"/>
          <w:lang w:val="es-MX"/>
        </w:rPr>
        <w:t>ABOGADO: Verdad que en esta entrevista usted dijo que el imputado era pelo café.</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TESTIGO: Así dije en aquel momento.</w:t>
      </w: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ABOGADO: ¿Es decir testigo, que usted nos esta mintiendo? </w:t>
      </w:r>
    </w:p>
    <w:p w:rsidR="0093314D" w:rsidRPr="009217A6" w:rsidRDefault="0093314D" w:rsidP="0093314D">
      <w:pPr>
        <w:spacing w:line="360" w:lineRule="auto"/>
        <w:ind w:left="708"/>
        <w:jc w:val="both"/>
        <w:rPr>
          <w:rFonts w:ascii="Arial" w:hAnsi="Arial" w:cs="Arial"/>
          <w:sz w:val="22"/>
          <w:lang w:val="es-MX"/>
        </w:rPr>
      </w:pPr>
      <w:r w:rsidRPr="009217A6">
        <w:rPr>
          <w:rFonts w:ascii="Arial" w:hAnsi="Arial" w:cs="Arial"/>
          <w:sz w:val="22"/>
          <w:lang w:val="es-MX"/>
        </w:rPr>
        <w:t>TESTIGO: No licenciado, lo que pasa es que el fiscal se equivocó al decir que el color del pelo del imputado era negro.</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pStyle w:val="Ttulo1"/>
        <w:rPr>
          <w:rFonts w:ascii="Arial" w:hAnsi="Arial" w:cs="Arial"/>
          <w:bCs/>
          <w:sz w:val="22"/>
          <w:lang w:val="es-MX"/>
        </w:rPr>
      </w:pPr>
      <w:bookmarkStart w:id="25" w:name="_Toc194650539"/>
      <w:r w:rsidRPr="009217A6">
        <w:rPr>
          <w:rFonts w:ascii="Arial" w:hAnsi="Arial" w:cs="Arial"/>
          <w:bCs/>
          <w:sz w:val="22"/>
          <w:lang w:val="es-MX"/>
        </w:rPr>
        <w:t>5. EL ÁMBITO DE APLICACIÓN DEL CONTRA INTERROGATORIO:</w:t>
      </w:r>
      <w:bookmarkEnd w:id="25"/>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En el interrogatorio directo, el abogado de la contraparte resalta la credibilidad de su testigo y obtiene la información necesaria que aporta elementos positivos a su estrategia de acusación o defensa; lógicamente a contrario sensu el contra interrogador deberá contrarrestar la credibilidad de dicho testigo y de su declaración; en consecuencia las áreas en que estriba la </w:t>
      </w:r>
      <w:r w:rsidRPr="009217A6">
        <w:rPr>
          <w:rFonts w:ascii="Arial" w:hAnsi="Arial" w:cs="Arial"/>
          <w:sz w:val="22"/>
          <w:lang w:val="es-MX"/>
        </w:rPr>
        <w:lastRenderedPageBreak/>
        <w:t xml:space="preserve">realización del contra interrogatorio son: La declaración del testigo vertida en el examen directo y aspectos de credibilidad de dicho testigo.  </w:t>
      </w:r>
    </w:p>
    <w:p w:rsidR="0093314D" w:rsidRPr="009217A6" w:rsidRDefault="0093314D" w:rsidP="0093314D">
      <w:pPr>
        <w:spacing w:line="360" w:lineRule="auto"/>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Si en el interrogatorio directo, el abogado, ha narrado al tribunal una historia de acuerdo a sus proposiciones fácticas, el abogado contrario debe tener la oportunidad de demostrar que esa tesis no es del todo cierta, o es totalmente falsa; y esto solo podrá hacerlo con su respectiva oferta probatoria, dentro de la cual destaca el contra interrogatorio a realizar al testigo adverso, con el que demostrará las inconsistencias e incoherencias de la historia antes relacionada.</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Además ese testigo que ha brindado su declaración y que ha sido acreditado como una persona merecedora de credibilidad, debe ser sometido a un interrogatorio por el abogado que no ofreció su testimonio; pues lógicamente la parte que lo ofreció no ha resaltado en el interrogatorio directo cuestiones que puedan poner en duda su credibilidad; razón por la cual es necesario demostrarle al tribunal que ese testigo no es tan veraz como lo hizo ver la contraparte; lo anterior es consecuencia de lo adversativo y contradictorio del juicio. En fin el derecho al contra interrogatorio no es absoluto, sino relativo, porque el abogado no debe abordar en sus repreguntas, asuntos ajenos a lo declarado por el testigo en el interrogatorio directo o atinentes a su credibilidad; pues de lo contrario, sus preguntas serán objetadas bajo el argumento de ser impertinentes.</w:t>
      </w:r>
    </w:p>
    <w:p w:rsidR="0093314D" w:rsidRPr="009217A6" w:rsidRDefault="0093314D" w:rsidP="0093314D">
      <w:pPr>
        <w:spacing w:line="360" w:lineRule="auto"/>
        <w:ind w:firstLine="708"/>
        <w:jc w:val="both"/>
        <w:rPr>
          <w:rFonts w:ascii="Arial" w:hAnsi="Arial" w:cs="Arial"/>
          <w:sz w:val="22"/>
          <w:lang w:val="es-MX"/>
        </w:rPr>
      </w:pPr>
    </w:p>
    <w:p w:rsidR="0093314D" w:rsidRPr="009217A6" w:rsidRDefault="0093314D" w:rsidP="0093314D">
      <w:pPr>
        <w:spacing w:line="360" w:lineRule="auto"/>
        <w:ind w:firstLine="708"/>
        <w:jc w:val="both"/>
        <w:rPr>
          <w:rFonts w:ascii="Arial" w:hAnsi="Arial" w:cs="Arial"/>
          <w:sz w:val="22"/>
          <w:lang w:val="es-MX"/>
        </w:rPr>
      </w:pPr>
      <w:r w:rsidRPr="009217A6">
        <w:rPr>
          <w:rFonts w:ascii="Arial" w:hAnsi="Arial" w:cs="Arial"/>
          <w:sz w:val="22"/>
          <w:lang w:val="es-MX"/>
        </w:rPr>
        <w:t xml:space="preserve">Pese a las anteriores consideraciones, hay jueces y tribunales de sentencia que en la práctica forense, no comparten el criterio que en el contra interrogatorio se examinen cuestiones relevantes a la credibilidad del testigo, si las mismas no han sido abordadas en el interrogatorio directo; criterio que en lo personal no compartimos, porque disminuiría al abogado las posibilidades de realizar un contra interrogatorio efectivo, pues generalmente en el interrogatorio directo, los abogados no abordan situaciones que afecten la credibilidad de sus testigos, de ahí que acertadamente se afirme que “Un abogado que examina a una testigo adverso no puede regirse en cuanto a la impugnación potencial de éste por aquellas materias cubiertas en el directo. De ordinario, las modalidades principales de impugnación – por inconsistencia, por interés o motivo, por carácter y a base de sentencia por convicción – no suelen ser abordadas en el examen directo.”   </w:t>
      </w:r>
      <w:r w:rsidRPr="009217A6">
        <w:rPr>
          <w:rStyle w:val="Refdenotaalpie"/>
          <w:rFonts w:ascii="Arial" w:hAnsi="Arial" w:cs="Arial"/>
          <w:sz w:val="22"/>
          <w:lang w:val="es-MX"/>
        </w:rPr>
        <w:footnoteReference w:id="35"/>
      </w:r>
    </w:p>
    <w:p w:rsidR="0093314D" w:rsidRPr="009217A6" w:rsidRDefault="0093314D" w:rsidP="009217A6">
      <w:pPr>
        <w:spacing w:line="360" w:lineRule="auto"/>
        <w:jc w:val="both"/>
        <w:rPr>
          <w:rFonts w:ascii="Arial" w:hAnsi="Arial" w:cs="Arial"/>
          <w:sz w:val="22"/>
          <w:lang w:val="es-MX"/>
        </w:rPr>
        <w:sectPr w:rsidR="0093314D" w:rsidRPr="009217A6">
          <w:pgSz w:w="12242" w:h="15842" w:code="1"/>
          <w:pgMar w:top="1418" w:right="1418" w:bottom="1418" w:left="1418" w:header="709" w:footer="709" w:gutter="0"/>
          <w:cols w:space="708"/>
          <w:docGrid w:linePitch="360"/>
        </w:sectPr>
      </w:pPr>
    </w:p>
    <w:p w:rsidR="00570AEC" w:rsidRPr="009217A6" w:rsidRDefault="00570AEC" w:rsidP="009217A6">
      <w:pPr>
        <w:pStyle w:val="Ttulo1"/>
        <w:rPr>
          <w:sz w:val="24"/>
        </w:rPr>
      </w:pPr>
    </w:p>
    <w:sectPr w:rsidR="00570AEC" w:rsidRPr="009217A6" w:rsidSect="00570AE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F53" w:rsidRDefault="00446F53" w:rsidP="0093314D">
      <w:r>
        <w:separator/>
      </w:r>
    </w:p>
  </w:endnote>
  <w:endnote w:type="continuationSeparator" w:id="0">
    <w:p w:rsidR="00446F53" w:rsidRDefault="00446F53" w:rsidP="0093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F53" w:rsidRDefault="00446F53" w:rsidP="0093314D">
      <w:r>
        <w:separator/>
      </w:r>
    </w:p>
  </w:footnote>
  <w:footnote w:type="continuationSeparator" w:id="0">
    <w:p w:rsidR="00446F53" w:rsidRDefault="00446F53" w:rsidP="0093314D">
      <w:r>
        <w:continuationSeparator/>
      </w:r>
    </w:p>
  </w:footnote>
  <w:footnote w:id="1">
    <w:p w:rsidR="0093314D" w:rsidRPr="009217A6" w:rsidRDefault="0093314D" w:rsidP="0093314D">
      <w:pPr>
        <w:pStyle w:val="Textonotapie"/>
        <w:ind w:firstLine="708"/>
        <w:rPr>
          <w:rFonts w:ascii="Arial" w:hAnsi="Arial" w:cs="Arial"/>
          <w:sz w:val="16"/>
        </w:rPr>
      </w:pPr>
      <w:r w:rsidRPr="009217A6">
        <w:rPr>
          <w:rStyle w:val="Refdenotaalpie"/>
          <w:rFonts w:ascii="Arial" w:hAnsi="Arial" w:cs="Arial"/>
          <w:sz w:val="16"/>
        </w:rPr>
        <w:footnoteRef/>
      </w:r>
      <w:r w:rsidRPr="009217A6">
        <w:rPr>
          <w:rFonts w:ascii="Arial" w:hAnsi="Arial" w:cs="Arial"/>
          <w:sz w:val="16"/>
        </w:rPr>
        <w:t xml:space="preserve"> PEDRAZ PENALVA E., y otros, “Comentarios al Código Procesal”,</w:t>
      </w:r>
      <w:r w:rsidRPr="009217A6">
        <w:rPr>
          <w:rFonts w:ascii="Arial" w:hAnsi="Arial" w:cs="Arial"/>
          <w:i/>
          <w:sz w:val="16"/>
        </w:rPr>
        <w:t xml:space="preserve"> </w:t>
      </w:r>
      <w:r w:rsidRPr="009217A6">
        <w:rPr>
          <w:rFonts w:ascii="Arial" w:hAnsi="Arial" w:cs="Arial"/>
          <w:sz w:val="16"/>
        </w:rPr>
        <w:t xml:space="preserve">Tomo I, 1° ed., Talleres gráficos de impresos múltiples, S.A de C.V, San Salvador, 2004, Pág. 84. </w:t>
      </w:r>
    </w:p>
    <w:p w:rsidR="0093314D" w:rsidRPr="009217A6" w:rsidRDefault="0093314D" w:rsidP="0093314D">
      <w:pPr>
        <w:pStyle w:val="Textonotapie"/>
        <w:ind w:firstLine="708"/>
        <w:rPr>
          <w:rFonts w:ascii="Arial" w:hAnsi="Arial" w:cs="Arial"/>
          <w:sz w:val="16"/>
        </w:rPr>
      </w:pPr>
    </w:p>
  </w:footnote>
  <w:footnote w:id="2">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 xml:space="preserve">MONTES CALDERÓN. </w:t>
      </w:r>
      <w:proofErr w:type="spellStart"/>
      <w:r w:rsidRPr="009217A6">
        <w:rPr>
          <w:rFonts w:ascii="Arial" w:hAnsi="Arial" w:cs="Arial"/>
          <w:sz w:val="16"/>
          <w:lang w:val="es-MX"/>
        </w:rPr>
        <w:t>A.:“Técnicas</w:t>
      </w:r>
      <w:proofErr w:type="spellEnd"/>
      <w:r w:rsidRPr="009217A6">
        <w:rPr>
          <w:rFonts w:ascii="Arial" w:hAnsi="Arial" w:cs="Arial"/>
          <w:sz w:val="16"/>
          <w:lang w:val="es-MX"/>
        </w:rPr>
        <w:t xml:space="preserve"> del Juicio Oral en el Sistema Penal Colombiano”,</w:t>
      </w:r>
      <w:r w:rsidRPr="009217A6">
        <w:rPr>
          <w:rFonts w:ascii="Arial" w:hAnsi="Arial" w:cs="Arial"/>
          <w:i/>
          <w:sz w:val="16"/>
          <w:lang w:val="es-MX"/>
        </w:rPr>
        <w:t xml:space="preserve"> </w:t>
      </w:r>
      <w:r w:rsidRPr="009217A6">
        <w:rPr>
          <w:rFonts w:ascii="Arial" w:hAnsi="Arial" w:cs="Arial"/>
          <w:sz w:val="16"/>
          <w:lang w:val="es-MX"/>
        </w:rPr>
        <w:t xml:space="preserve">1era. edición; </w:t>
      </w:r>
      <w:proofErr w:type="spellStart"/>
      <w:r w:rsidRPr="009217A6">
        <w:rPr>
          <w:rFonts w:ascii="Arial" w:hAnsi="Arial" w:cs="Arial"/>
          <w:sz w:val="16"/>
          <w:lang w:val="es-MX"/>
        </w:rPr>
        <w:t>Quebecor</w:t>
      </w:r>
      <w:proofErr w:type="spellEnd"/>
      <w:r w:rsidRPr="009217A6">
        <w:rPr>
          <w:rFonts w:ascii="Arial" w:hAnsi="Arial" w:cs="Arial"/>
          <w:sz w:val="16"/>
          <w:lang w:val="es-MX"/>
        </w:rPr>
        <w:t xml:space="preserve"> </w:t>
      </w:r>
      <w:proofErr w:type="spellStart"/>
      <w:r w:rsidRPr="009217A6">
        <w:rPr>
          <w:rFonts w:ascii="Arial" w:hAnsi="Arial" w:cs="Arial"/>
          <w:sz w:val="16"/>
          <w:lang w:val="es-MX"/>
        </w:rPr>
        <w:t>World</w:t>
      </w:r>
      <w:proofErr w:type="spellEnd"/>
      <w:r w:rsidRPr="009217A6">
        <w:rPr>
          <w:rFonts w:ascii="Arial" w:hAnsi="Arial" w:cs="Arial"/>
          <w:sz w:val="16"/>
          <w:lang w:val="es-MX"/>
        </w:rPr>
        <w:t xml:space="preserve"> Bogotá S.A, Bogotá D.C, 2003, </w:t>
      </w:r>
      <w:proofErr w:type="spellStart"/>
      <w:r w:rsidRPr="009217A6">
        <w:rPr>
          <w:rFonts w:ascii="Arial" w:hAnsi="Arial" w:cs="Arial"/>
          <w:sz w:val="16"/>
          <w:lang w:val="es-MX"/>
        </w:rPr>
        <w:t>Pag</w:t>
      </w:r>
      <w:proofErr w:type="spellEnd"/>
      <w:r w:rsidRPr="009217A6">
        <w:rPr>
          <w:rFonts w:ascii="Arial" w:hAnsi="Arial" w:cs="Arial"/>
          <w:sz w:val="16"/>
          <w:lang w:val="es-MX"/>
        </w:rPr>
        <w:t>. 18</w:t>
      </w:r>
    </w:p>
  </w:footnote>
  <w:footnote w:id="3">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 xml:space="preserve">Sentencia 261-00 de las 10:00 horas del día 11/06/02, Corte Suprema de Justicia, “Líneas y criterios jurisprudenciales de </w:t>
      </w:r>
      <w:smartTag w:uri="urn:schemas-microsoft-com:office:smarttags" w:element="PersonName">
        <w:smartTagPr>
          <w:attr w:name="ProductID" w:val="la Sala"/>
        </w:smartTagPr>
        <w:r w:rsidRPr="009217A6">
          <w:rPr>
            <w:rFonts w:ascii="Arial" w:hAnsi="Arial" w:cs="Arial"/>
            <w:sz w:val="16"/>
            <w:lang w:val="es-MX"/>
          </w:rPr>
          <w:t>la Sala</w:t>
        </w:r>
      </w:smartTag>
      <w:r w:rsidRPr="009217A6">
        <w:rPr>
          <w:rFonts w:ascii="Arial" w:hAnsi="Arial" w:cs="Arial"/>
          <w:sz w:val="16"/>
          <w:lang w:val="es-MX"/>
        </w:rPr>
        <w:t xml:space="preserve"> de lo Penal 2002-2003-</w:t>
      </w:r>
      <w:smartTag w:uri="urn:schemas-microsoft-com:office:smarttags" w:element="metricconverter">
        <w:smartTagPr>
          <w:attr w:name="ProductID" w:val="2004”"/>
        </w:smartTagPr>
        <w:r w:rsidRPr="009217A6">
          <w:rPr>
            <w:rFonts w:ascii="Arial" w:hAnsi="Arial" w:cs="Arial"/>
            <w:sz w:val="16"/>
            <w:lang w:val="es-MX"/>
          </w:rPr>
          <w:t>2004”</w:t>
        </w:r>
      </w:smartTag>
      <w:r w:rsidRPr="009217A6">
        <w:rPr>
          <w:rFonts w:ascii="Arial" w:hAnsi="Arial" w:cs="Arial"/>
          <w:sz w:val="16"/>
          <w:lang w:val="es-MX"/>
        </w:rPr>
        <w:t>, 1° ed., San Salvador, 2006, Pág. 3.</w:t>
      </w:r>
    </w:p>
    <w:p w:rsidR="0093314D" w:rsidRPr="009217A6" w:rsidRDefault="0093314D" w:rsidP="0093314D">
      <w:pPr>
        <w:pStyle w:val="Textonotapie"/>
        <w:ind w:firstLine="708"/>
        <w:rPr>
          <w:rFonts w:ascii="Arial" w:hAnsi="Arial" w:cs="Arial"/>
          <w:i/>
          <w:sz w:val="16"/>
          <w:lang w:val="es-MX"/>
        </w:rPr>
      </w:pPr>
    </w:p>
  </w:footnote>
  <w:footnote w:id="4">
    <w:p w:rsidR="0093314D" w:rsidRPr="009217A6" w:rsidRDefault="0093314D" w:rsidP="0093314D">
      <w:pPr>
        <w:pStyle w:val="Textonotapie"/>
        <w:ind w:firstLine="708"/>
        <w:rPr>
          <w:rFonts w:ascii="Arial" w:hAnsi="Arial" w:cs="Arial"/>
          <w:i/>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 xml:space="preserve">EDWARDS. C.: “Garantías Constitucionales en Materia Penal”, </w:t>
      </w:r>
      <w:proofErr w:type="spellStart"/>
      <w:r w:rsidRPr="009217A6">
        <w:rPr>
          <w:rFonts w:ascii="Arial" w:hAnsi="Arial" w:cs="Arial"/>
          <w:sz w:val="16"/>
          <w:lang w:val="es-MX"/>
        </w:rPr>
        <w:t>Astrea</w:t>
      </w:r>
      <w:proofErr w:type="spellEnd"/>
      <w:r w:rsidRPr="009217A6">
        <w:rPr>
          <w:rFonts w:ascii="Arial" w:hAnsi="Arial" w:cs="Arial"/>
          <w:sz w:val="16"/>
          <w:lang w:val="es-MX"/>
        </w:rPr>
        <w:t xml:space="preserve"> de Alfredo y Ricardo de Palma, Buenos Aires, 1996, Pág. 87.</w:t>
      </w:r>
    </w:p>
  </w:footnote>
  <w:footnote w:id="5">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 xml:space="preserve">Sentencia de Habeas Corpus ref. 258-2002 de fecha13/02/2003, Corte Suprema de Justicia, “Líneas y Criterios Jurisprudenciales de </w:t>
      </w:r>
      <w:smartTag w:uri="urn:schemas-microsoft-com:office:smarttags" w:element="PersonName">
        <w:smartTagPr>
          <w:attr w:name="ProductID" w:val="la Sala"/>
        </w:smartTagPr>
        <w:r w:rsidRPr="009217A6">
          <w:rPr>
            <w:rFonts w:ascii="Arial" w:hAnsi="Arial" w:cs="Arial"/>
            <w:sz w:val="16"/>
            <w:lang w:val="es-MX"/>
          </w:rPr>
          <w:t>la Sala</w:t>
        </w:r>
      </w:smartTag>
      <w:r w:rsidRPr="009217A6">
        <w:rPr>
          <w:rFonts w:ascii="Arial" w:hAnsi="Arial" w:cs="Arial"/>
          <w:sz w:val="16"/>
          <w:lang w:val="es-MX"/>
        </w:rPr>
        <w:t xml:space="preserve"> de lo Constitucional </w:t>
      </w:r>
      <w:smartTag w:uri="urn:schemas-microsoft-com:office:smarttags" w:element="metricconverter">
        <w:smartTagPr>
          <w:attr w:name="ProductID" w:val="2003”"/>
        </w:smartTagPr>
        <w:r w:rsidRPr="009217A6">
          <w:rPr>
            <w:rFonts w:ascii="Arial" w:hAnsi="Arial" w:cs="Arial"/>
            <w:sz w:val="16"/>
            <w:lang w:val="es-MX"/>
          </w:rPr>
          <w:t>2003”</w:t>
        </w:r>
      </w:smartTag>
      <w:r w:rsidRPr="009217A6">
        <w:rPr>
          <w:rFonts w:ascii="Arial" w:hAnsi="Arial" w:cs="Arial"/>
          <w:sz w:val="16"/>
          <w:lang w:val="es-MX"/>
        </w:rPr>
        <w:t>, 1° ed., San Salvador, 2005, Pág. 119.</w:t>
      </w:r>
    </w:p>
    <w:p w:rsidR="0093314D" w:rsidRPr="009217A6" w:rsidRDefault="0093314D" w:rsidP="0093314D">
      <w:pPr>
        <w:pStyle w:val="Textonotapie"/>
        <w:ind w:firstLine="708"/>
        <w:rPr>
          <w:rFonts w:ascii="Arial" w:hAnsi="Arial" w:cs="Arial"/>
          <w:sz w:val="16"/>
          <w:lang w:val="es-MX"/>
        </w:rPr>
      </w:pPr>
    </w:p>
  </w:footnote>
  <w:footnote w:id="6">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lang w:val="es-MX"/>
        </w:rPr>
        <w:t xml:space="preserve"> EDWARDS. C.: “Garantías Constitucionales en Materia Penal”, </w:t>
      </w:r>
      <w:proofErr w:type="spellStart"/>
      <w:r w:rsidRPr="009217A6">
        <w:rPr>
          <w:rFonts w:ascii="Arial" w:hAnsi="Arial" w:cs="Arial"/>
          <w:sz w:val="16"/>
          <w:lang w:val="es-MX"/>
        </w:rPr>
        <w:t>Astrea</w:t>
      </w:r>
      <w:proofErr w:type="spellEnd"/>
      <w:r w:rsidRPr="009217A6">
        <w:rPr>
          <w:rFonts w:ascii="Arial" w:hAnsi="Arial" w:cs="Arial"/>
          <w:sz w:val="16"/>
          <w:lang w:val="es-MX"/>
        </w:rPr>
        <w:t xml:space="preserve"> de Alfredo y Ricardo de Palma, Buenos Aires, 1996, Pág. 90</w:t>
      </w:r>
      <w:r w:rsidRPr="009217A6">
        <w:rPr>
          <w:rFonts w:ascii="Arial" w:hAnsi="Arial" w:cs="Arial"/>
          <w:sz w:val="16"/>
        </w:rPr>
        <w:t xml:space="preserve"> </w:t>
      </w:r>
    </w:p>
  </w:footnote>
  <w:footnote w:id="7">
    <w:p w:rsidR="0093314D" w:rsidRPr="00B26784" w:rsidRDefault="0093314D" w:rsidP="0093314D">
      <w:pPr>
        <w:pStyle w:val="Textonotapie"/>
        <w:ind w:firstLine="708"/>
        <w:rPr>
          <w:rFonts w:ascii="Arial" w:hAnsi="Arial" w:cs="Arial"/>
          <w:lang w:val="es-MX"/>
        </w:rPr>
      </w:pPr>
      <w:r w:rsidRPr="009217A6">
        <w:rPr>
          <w:rStyle w:val="Refdenotaalpie"/>
          <w:rFonts w:ascii="Arial" w:hAnsi="Arial" w:cs="Arial"/>
          <w:sz w:val="16"/>
        </w:rPr>
        <w:footnoteRef/>
      </w:r>
      <w:r w:rsidRPr="00B26784">
        <w:rPr>
          <w:rFonts w:ascii="Arial" w:hAnsi="Arial" w:cs="Arial"/>
        </w:rPr>
        <w:t xml:space="preserve"> </w:t>
      </w:r>
      <w:r w:rsidRPr="009217A6">
        <w:rPr>
          <w:rFonts w:ascii="Arial" w:hAnsi="Arial" w:cs="Arial"/>
          <w:sz w:val="16"/>
          <w:lang w:val="es-MX"/>
        </w:rPr>
        <w:t xml:space="preserve">BERTOLINO. P.: </w:t>
      </w:r>
      <w:r w:rsidRPr="009217A6">
        <w:rPr>
          <w:rFonts w:ascii="Arial" w:hAnsi="Arial" w:cs="Arial"/>
          <w:i/>
          <w:sz w:val="16"/>
          <w:lang w:val="es-MX"/>
        </w:rPr>
        <w:t>“</w:t>
      </w:r>
      <w:r w:rsidRPr="009217A6">
        <w:rPr>
          <w:rFonts w:ascii="Arial" w:hAnsi="Arial" w:cs="Arial"/>
          <w:sz w:val="16"/>
          <w:lang w:val="es-MX"/>
        </w:rPr>
        <w:t>El Debido Proceso Penal</w:t>
      </w:r>
      <w:r w:rsidRPr="009217A6">
        <w:rPr>
          <w:rFonts w:ascii="Arial" w:hAnsi="Arial" w:cs="Arial"/>
          <w:i/>
          <w:sz w:val="16"/>
          <w:lang w:val="es-MX"/>
        </w:rPr>
        <w:t xml:space="preserve">”, </w:t>
      </w:r>
      <w:r w:rsidRPr="009217A6">
        <w:rPr>
          <w:rFonts w:ascii="Arial" w:hAnsi="Arial" w:cs="Arial"/>
          <w:sz w:val="16"/>
          <w:lang w:val="es-MX"/>
        </w:rPr>
        <w:t xml:space="preserve"> Platense, 1986, Pág. 195.</w:t>
      </w:r>
    </w:p>
  </w:footnote>
  <w:footnote w:id="8">
    <w:p w:rsidR="0093314D" w:rsidRPr="009217A6" w:rsidRDefault="0093314D" w:rsidP="0093314D">
      <w:pPr>
        <w:pStyle w:val="Textonotapie"/>
        <w:ind w:firstLine="708"/>
        <w:rPr>
          <w:rFonts w:ascii="Arial" w:hAnsi="Arial" w:cs="Arial"/>
          <w:sz w:val="14"/>
          <w:lang w:val="es-MX"/>
        </w:rPr>
      </w:pPr>
      <w:r w:rsidRPr="009217A6">
        <w:rPr>
          <w:rStyle w:val="Refdenotaalpie"/>
          <w:rFonts w:ascii="Arial" w:hAnsi="Arial" w:cs="Arial"/>
          <w:sz w:val="14"/>
        </w:rPr>
        <w:footnoteRef/>
      </w:r>
      <w:r w:rsidRPr="009217A6">
        <w:rPr>
          <w:rFonts w:ascii="Arial" w:hAnsi="Arial" w:cs="Arial"/>
          <w:sz w:val="14"/>
        </w:rPr>
        <w:t xml:space="preserve"> </w:t>
      </w:r>
      <w:r w:rsidRPr="009217A6">
        <w:rPr>
          <w:rFonts w:ascii="Arial" w:hAnsi="Arial" w:cs="Arial"/>
          <w:sz w:val="14"/>
          <w:lang w:val="es-MX"/>
        </w:rPr>
        <w:t>BERGMAN. P.: “</w:t>
      </w:r>
      <w:smartTag w:uri="urn:schemas-microsoft-com:office:smarttags" w:element="PersonName">
        <w:smartTagPr>
          <w:attr w:name="ProductID" w:val="la Defensa"/>
        </w:smartTagPr>
        <w:r w:rsidRPr="009217A6">
          <w:rPr>
            <w:rFonts w:ascii="Arial" w:hAnsi="Arial" w:cs="Arial"/>
            <w:sz w:val="14"/>
            <w:lang w:val="es-MX"/>
          </w:rPr>
          <w:t>La Defensa</w:t>
        </w:r>
      </w:smartTag>
      <w:r w:rsidRPr="009217A6">
        <w:rPr>
          <w:rFonts w:ascii="Arial" w:hAnsi="Arial" w:cs="Arial"/>
          <w:sz w:val="14"/>
          <w:lang w:val="es-MX"/>
        </w:rPr>
        <w:t xml:space="preserve"> en Juicio”,</w:t>
      </w:r>
      <w:r w:rsidRPr="009217A6">
        <w:rPr>
          <w:rFonts w:ascii="Arial" w:hAnsi="Arial" w:cs="Arial"/>
          <w:i/>
          <w:sz w:val="14"/>
          <w:lang w:val="es-MX"/>
        </w:rPr>
        <w:t xml:space="preserve"> </w:t>
      </w:r>
      <w:r w:rsidRPr="009217A6">
        <w:rPr>
          <w:rFonts w:ascii="Arial" w:hAnsi="Arial" w:cs="Arial"/>
          <w:sz w:val="14"/>
          <w:lang w:val="es-MX"/>
        </w:rPr>
        <w:t xml:space="preserve">2° ed., </w:t>
      </w:r>
      <w:proofErr w:type="spellStart"/>
      <w:r w:rsidRPr="009217A6">
        <w:rPr>
          <w:rFonts w:ascii="Arial" w:hAnsi="Arial" w:cs="Arial"/>
          <w:sz w:val="14"/>
          <w:lang w:val="es-MX"/>
        </w:rPr>
        <w:t>Abeledo</w:t>
      </w:r>
      <w:proofErr w:type="spellEnd"/>
      <w:r w:rsidRPr="009217A6">
        <w:rPr>
          <w:rFonts w:ascii="Arial" w:hAnsi="Arial" w:cs="Arial"/>
          <w:sz w:val="14"/>
          <w:lang w:val="es-MX"/>
        </w:rPr>
        <w:t xml:space="preserve"> </w:t>
      </w:r>
      <w:proofErr w:type="spellStart"/>
      <w:r w:rsidRPr="009217A6">
        <w:rPr>
          <w:rFonts w:ascii="Arial" w:hAnsi="Arial" w:cs="Arial"/>
          <w:sz w:val="14"/>
          <w:lang w:val="es-MX"/>
        </w:rPr>
        <w:t>Perrot</w:t>
      </w:r>
      <w:proofErr w:type="spellEnd"/>
      <w:r w:rsidRPr="009217A6">
        <w:rPr>
          <w:rFonts w:ascii="Arial" w:hAnsi="Arial" w:cs="Arial"/>
          <w:sz w:val="14"/>
          <w:lang w:val="es-MX"/>
        </w:rPr>
        <w:t>, Buenos Aires, 1989, Pág. 17.</w:t>
      </w:r>
    </w:p>
    <w:p w:rsidR="0093314D" w:rsidRPr="009217A6" w:rsidRDefault="0093314D" w:rsidP="0093314D">
      <w:pPr>
        <w:pStyle w:val="Textonotapie"/>
        <w:rPr>
          <w:rFonts w:ascii="Arial" w:hAnsi="Arial" w:cs="Arial"/>
          <w:sz w:val="14"/>
          <w:lang w:val="es-MX"/>
        </w:rPr>
      </w:pPr>
    </w:p>
  </w:footnote>
  <w:footnote w:id="9">
    <w:p w:rsidR="0093314D" w:rsidRPr="009217A6" w:rsidRDefault="0093314D" w:rsidP="0093314D">
      <w:pPr>
        <w:pStyle w:val="Textonotapie"/>
        <w:ind w:firstLine="708"/>
        <w:rPr>
          <w:rFonts w:ascii="Arial" w:hAnsi="Arial" w:cs="Arial"/>
          <w:sz w:val="14"/>
          <w:lang w:val="es-MX"/>
        </w:rPr>
      </w:pPr>
      <w:r w:rsidRPr="009217A6">
        <w:rPr>
          <w:rStyle w:val="Refdenotaalpie"/>
          <w:rFonts w:ascii="Arial" w:hAnsi="Arial" w:cs="Arial"/>
          <w:sz w:val="14"/>
        </w:rPr>
        <w:footnoteRef/>
      </w:r>
      <w:r w:rsidRPr="009217A6">
        <w:rPr>
          <w:rFonts w:ascii="Arial" w:hAnsi="Arial" w:cs="Arial"/>
          <w:sz w:val="14"/>
        </w:rPr>
        <w:t xml:space="preserve"> </w:t>
      </w:r>
      <w:r w:rsidRPr="009217A6">
        <w:rPr>
          <w:rFonts w:ascii="Arial" w:hAnsi="Arial" w:cs="Arial"/>
          <w:sz w:val="14"/>
          <w:lang w:val="es-MX"/>
        </w:rPr>
        <w:t xml:space="preserve">CHIESA. E.: “Tratado de Derecho Probatorio (Reglas de evidencia de Puerto Rico y Federales)”, 1°. ed.,  </w:t>
      </w:r>
      <w:proofErr w:type="spellStart"/>
      <w:r w:rsidRPr="009217A6">
        <w:rPr>
          <w:rFonts w:ascii="Arial" w:hAnsi="Arial" w:cs="Arial"/>
          <w:sz w:val="14"/>
          <w:lang w:val="es-MX"/>
        </w:rPr>
        <w:t>Pàg</w:t>
      </w:r>
      <w:proofErr w:type="spellEnd"/>
      <w:r w:rsidRPr="009217A6">
        <w:rPr>
          <w:rFonts w:ascii="Arial" w:hAnsi="Arial" w:cs="Arial"/>
          <w:sz w:val="14"/>
          <w:lang w:val="es-MX"/>
        </w:rPr>
        <w:t>. 49</w:t>
      </w:r>
    </w:p>
    <w:p w:rsidR="0093314D" w:rsidRPr="009217A6" w:rsidRDefault="0093314D" w:rsidP="0093314D">
      <w:pPr>
        <w:pStyle w:val="Textonotapie"/>
        <w:ind w:firstLine="708"/>
        <w:rPr>
          <w:rFonts w:ascii="Arial" w:hAnsi="Arial" w:cs="Arial"/>
          <w:sz w:val="14"/>
          <w:lang w:val="es-MX"/>
        </w:rPr>
      </w:pPr>
    </w:p>
  </w:footnote>
  <w:footnote w:id="10">
    <w:p w:rsidR="0093314D" w:rsidRPr="009217A6" w:rsidRDefault="0093314D" w:rsidP="0093314D">
      <w:pPr>
        <w:pStyle w:val="Textonotapie"/>
        <w:ind w:firstLine="708"/>
        <w:jc w:val="both"/>
        <w:rPr>
          <w:rFonts w:ascii="Arial" w:hAnsi="Arial" w:cs="Arial"/>
          <w:sz w:val="16"/>
        </w:rPr>
      </w:pPr>
      <w:r w:rsidRPr="009217A6">
        <w:rPr>
          <w:rStyle w:val="Refdenotaalpie"/>
          <w:rFonts w:ascii="Arial" w:hAnsi="Arial" w:cs="Arial"/>
          <w:sz w:val="16"/>
        </w:rPr>
        <w:footnoteRef/>
      </w:r>
      <w:r w:rsidRPr="009217A6">
        <w:rPr>
          <w:rFonts w:ascii="Arial" w:hAnsi="Arial" w:cs="Arial"/>
          <w:sz w:val="16"/>
        </w:rPr>
        <w:t xml:space="preserve"> Sobre la finalidad de las repreguntas expresa 3 </w:t>
      </w:r>
      <w:proofErr w:type="gramStart"/>
      <w:r w:rsidRPr="009217A6">
        <w:rPr>
          <w:rFonts w:ascii="Arial" w:hAnsi="Arial" w:cs="Arial"/>
          <w:sz w:val="16"/>
        </w:rPr>
        <w:t>aspectos :</w:t>
      </w:r>
      <w:proofErr w:type="gramEnd"/>
      <w:r w:rsidRPr="009217A6">
        <w:rPr>
          <w:rFonts w:ascii="Arial" w:hAnsi="Arial" w:cs="Arial"/>
          <w:sz w:val="16"/>
        </w:rPr>
        <w:t xml:space="preserve"> a) Anular o Disminuir la credibilidad del Testigo por </w:t>
      </w:r>
      <w:proofErr w:type="spellStart"/>
      <w:r w:rsidRPr="009217A6">
        <w:rPr>
          <w:rFonts w:ascii="Arial" w:hAnsi="Arial" w:cs="Arial"/>
          <w:i/>
          <w:sz w:val="16"/>
        </w:rPr>
        <w:t>argumentum</w:t>
      </w:r>
      <w:proofErr w:type="spellEnd"/>
      <w:r w:rsidRPr="009217A6">
        <w:rPr>
          <w:rFonts w:ascii="Arial" w:hAnsi="Arial" w:cs="Arial"/>
          <w:i/>
          <w:sz w:val="16"/>
        </w:rPr>
        <w:t xml:space="preserve"> ad </w:t>
      </w:r>
      <w:proofErr w:type="spellStart"/>
      <w:r w:rsidRPr="009217A6">
        <w:rPr>
          <w:rFonts w:ascii="Arial" w:hAnsi="Arial" w:cs="Arial"/>
          <w:i/>
          <w:sz w:val="16"/>
        </w:rPr>
        <w:t>personam</w:t>
      </w:r>
      <w:proofErr w:type="spellEnd"/>
      <w:r w:rsidRPr="009217A6">
        <w:rPr>
          <w:rFonts w:ascii="Arial" w:hAnsi="Arial" w:cs="Arial"/>
          <w:i/>
          <w:sz w:val="16"/>
        </w:rPr>
        <w:t xml:space="preserve"> </w:t>
      </w:r>
      <w:r w:rsidRPr="009217A6">
        <w:rPr>
          <w:rFonts w:ascii="Arial" w:hAnsi="Arial" w:cs="Arial"/>
          <w:sz w:val="16"/>
        </w:rPr>
        <w:t xml:space="preserve">apuntando a su idoneidad; b) desvirtuar los hechos afirmados por la declaración, sea por que ha mentido, sea por que se ha dado una versión falsa por exageración, omisión o error, y  c) obtener datos o referencias que se hallan callado y que pueden conducir a una conclusión diversa o menos verosímil que las inferidas en el testimonio directo. YOUNG TOMAS, E.J. “Técnica del Interrogatorio de Testigos” </w:t>
      </w:r>
      <w:smartTag w:uri="urn:schemas-microsoft-com:office:smarttags" w:element="PersonName">
        <w:smartTagPr>
          <w:attr w:name="ProductID" w:val="La Roca"/>
        </w:smartTagPr>
        <w:r w:rsidRPr="009217A6">
          <w:rPr>
            <w:rFonts w:ascii="Arial" w:hAnsi="Arial" w:cs="Arial"/>
            <w:sz w:val="16"/>
          </w:rPr>
          <w:t>La Roca</w:t>
        </w:r>
      </w:smartTag>
      <w:r w:rsidRPr="009217A6">
        <w:rPr>
          <w:rFonts w:ascii="Arial" w:hAnsi="Arial" w:cs="Arial"/>
          <w:sz w:val="16"/>
        </w:rPr>
        <w:t>, Segunda Edición; Buenos Aires 2005. Pàg.176.</w:t>
      </w:r>
    </w:p>
    <w:p w:rsidR="0093314D" w:rsidRPr="009217A6" w:rsidRDefault="0093314D" w:rsidP="0093314D">
      <w:pPr>
        <w:pStyle w:val="Textonotapie"/>
        <w:ind w:firstLine="708"/>
        <w:jc w:val="both"/>
        <w:rPr>
          <w:rFonts w:ascii="Arial" w:hAnsi="Arial" w:cs="Arial"/>
          <w:i/>
          <w:sz w:val="16"/>
        </w:rPr>
      </w:pPr>
    </w:p>
  </w:footnote>
  <w:footnote w:id="11">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 xml:space="preserve">Escuela de capacitación judicial, </w:t>
      </w:r>
      <w:proofErr w:type="spellStart"/>
      <w:r w:rsidRPr="009217A6">
        <w:rPr>
          <w:rFonts w:ascii="Arial" w:hAnsi="Arial" w:cs="Arial"/>
          <w:sz w:val="16"/>
          <w:lang w:val="es-MX"/>
        </w:rPr>
        <w:t>op</w:t>
      </w:r>
      <w:proofErr w:type="spellEnd"/>
      <w:r w:rsidRPr="009217A6">
        <w:rPr>
          <w:rFonts w:ascii="Arial" w:hAnsi="Arial" w:cs="Arial"/>
          <w:sz w:val="16"/>
          <w:lang w:val="es-MX"/>
        </w:rPr>
        <w:t xml:space="preserve"> </w:t>
      </w:r>
      <w:proofErr w:type="spellStart"/>
      <w:r w:rsidRPr="009217A6">
        <w:rPr>
          <w:rFonts w:ascii="Arial" w:hAnsi="Arial" w:cs="Arial"/>
          <w:sz w:val="16"/>
          <w:lang w:val="es-MX"/>
        </w:rPr>
        <w:t>cit</w:t>
      </w:r>
      <w:proofErr w:type="spellEnd"/>
      <w:r w:rsidRPr="009217A6">
        <w:rPr>
          <w:rFonts w:ascii="Arial" w:hAnsi="Arial" w:cs="Arial"/>
          <w:sz w:val="16"/>
          <w:lang w:val="es-MX"/>
        </w:rPr>
        <w:t>; Pág. 9</w:t>
      </w:r>
    </w:p>
    <w:p w:rsidR="0093314D" w:rsidRPr="009217A6" w:rsidRDefault="0093314D" w:rsidP="0093314D">
      <w:pPr>
        <w:pStyle w:val="Textonotapie"/>
        <w:rPr>
          <w:rFonts w:ascii="Arial" w:hAnsi="Arial" w:cs="Arial"/>
          <w:sz w:val="16"/>
          <w:lang w:val="es-MX"/>
        </w:rPr>
      </w:pPr>
    </w:p>
  </w:footnote>
  <w:footnote w:id="12">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proofErr w:type="spellStart"/>
      <w:r w:rsidRPr="009217A6">
        <w:rPr>
          <w:rFonts w:ascii="Arial" w:hAnsi="Arial" w:cs="Arial"/>
          <w:sz w:val="16"/>
          <w:lang w:val="es-MX"/>
        </w:rPr>
        <w:t>Ctas</w:t>
      </w:r>
      <w:proofErr w:type="spellEnd"/>
      <w:r w:rsidRPr="009217A6">
        <w:rPr>
          <w:rFonts w:ascii="Arial" w:hAnsi="Arial" w:cs="Arial"/>
          <w:sz w:val="16"/>
          <w:lang w:val="es-MX"/>
        </w:rPr>
        <w:t xml:space="preserve"> del Art. 152, 153, 154</w:t>
      </w:r>
    </w:p>
  </w:footnote>
  <w:footnote w:id="13">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QUIÑÓNEZ VARGAS. H.: “Las Técnicas de Litigación Oral en el Proceso Penal Salvadoreño. Un análisis crítico del Sistema Oral en el Proceso Penal Salvadoreño desde una perspectiva acusatoria adversativa.”, 1°ed., Maya, San Salvador, 2003, Pág. 207.</w:t>
      </w:r>
    </w:p>
    <w:p w:rsidR="0093314D" w:rsidRPr="009217A6" w:rsidRDefault="0093314D" w:rsidP="0093314D">
      <w:pPr>
        <w:pStyle w:val="Textonotapie"/>
        <w:ind w:firstLine="708"/>
        <w:rPr>
          <w:rFonts w:ascii="Arial" w:hAnsi="Arial" w:cs="Arial"/>
          <w:i/>
          <w:sz w:val="16"/>
          <w:lang w:val="es-MX"/>
        </w:rPr>
      </w:pPr>
      <w:r w:rsidRPr="009217A6">
        <w:rPr>
          <w:rFonts w:ascii="Arial" w:hAnsi="Arial" w:cs="Arial"/>
          <w:i/>
          <w:sz w:val="16"/>
          <w:lang w:val="es-MX"/>
        </w:rPr>
        <w:t xml:space="preserve"> </w:t>
      </w:r>
    </w:p>
  </w:footnote>
  <w:footnote w:id="14">
    <w:p w:rsidR="0093314D" w:rsidRPr="009217A6" w:rsidRDefault="0093314D" w:rsidP="0093314D">
      <w:pPr>
        <w:pStyle w:val="Textonotapie"/>
        <w:ind w:firstLine="708"/>
        <w:rPr>
          <w:rFonts w:ascii="Arial" w:hAnsi="Arial" w:cs="Arial"/>
          <w:sz w:val="16"/>
        </w:rPr>
      </w:pPr>
      <w:r w:rsidRPr="009217A6">
        <w:rPr>
          <w:rStyle w:val="Refdenotaalpie"/>
          <w:rFonts w:ascii="Arial" w:hAnsi="Arial" w:cs="Arial"/>
          <w:sz w:val="16"/>
        </w:rPr>
        <w:footnoteRef/>
      </w:r>
      <w:r w:rsidRPr="009217A6">
        <w:rPr>
          <w:rFonts w:ascii="Arial" w:hAnsi="Arial" w:cs="Arial"/>
          <w:sz w:val="16"/>
        </w:rPr>
        <w:t xml:space="preserve">RAMOS GONZÁLEZ. C. Y VÉLEZ RODRÍGUEZ, E.: “Teoría y Práctica de </w:t>
      </w:r>
      <w:smartTag w:uri="urn:schemas-microsoft-com:office:smarttags" w:element="PersonName">
        <w:smartTagPr>
          <w:attr w:name="ProductID" w:val="erecho al Dividendo.htmⲝ耀ʪ2萀㰴ꠘ 䕄䕒噃ㅾ䐮䍏b뻯㲹襉㲹襉&amp;⶧Dere"/>
        </w:smartTagPr>
        <w:r w:rsidRPr="009217A6">
          <w:rPr>
            <w:rFonts w:ascii="Arial" w:hAnsi="Arial" w:cs="Arial"/>
            <w:sz w:val="16"/>
          </w:rPr>
          <w:t>la Litigación</w:t>
        </w:r>
      </w:smartTag>
      <w:r w:rsidRPr="009217A6">
        <w:rPr>
          <w:rFonts w:ascii="Arial" w:hAnsi="Arial" w:cs="Arial"/>
          <w:sz w:val="16"/>
        </w:rPr>
        <w:t xml:space="preserve"> en Puerto Rico”, MICHIE OF PUERTO RICO, San Juan, 1996, Pág. 50</w:t>
      </w:r>
    </w:p>
    <w:p w:rsidR="0093314D" w:rsidRPr="009217A6" w:rsidRDefault="0093314D" w:rsidP="0093314D">
      <w:pPr>
        <w:pStyle w:val="Textonotapie"/>
        <w:rPr>
          <w:rFonts w:ascii="Arial" w:hAnsi="Arial" w:cs="Arial"/>
          <w:sz w:val="16"/>
          <w:lang w:val="es-MX"/>
        </w:rPr>
      </w:pPr>
      <w:r w:rsidRPr="009217A6">
        <w:rPr>
          <w:rFonts w:ascii="Arial" w:hAnsi="Arial" w:cs="Arial"/>
          <w:sz w:val="16"/>
        </w:rPr>
        <w:t xml:space="preserve"> </w:t>
      </w:r>
    </w:p>
  </w:footnote>
  <w:footnote w:id="15">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FONTANET MALDONADO. J.: </w:t>
      </w:r>
      <w:proofErr w:type="spellStart"/>
      <w:r w:rsidRPr="009217A6">
        <w:rPr>
          <w:rFonts w:ascii="Arial" w:hAnsi="Arial" w:cs="Arial"/>
          <w:sz w:val="16"/>
        </w:rPr>
        <w:t>op</w:t>
      </w:r>
      <w:proofErr w:type="spellEnd"/>
      <w:r w:rsidRPr="009217A6">
        <w:rPr>
          <w:rFonts w:ascii="Arial" w:hAnsi="Arial" w:cs="Arial"/>
          <w:sz w:val="16"/>
        </w:rPr>
        <w:t xml:space="preserve"> </w:t>
      </w:r>
      <w:proofErr w:type="spellStart"/>
      <w:r w:rsidRPr="009217A6">
        <w:rPr>
          <w:rFonts w:ascii="Arial" w:hAnsi="Arial" w:cs="Arial"/>
          <w:sz w:val="16"/>
        </w:rPr>
        <w:t>cit</w:t>
      </w:r>
      <w:proofErr w:type="spellEnd"/>
      <w:r w:rsidRPr="009217A6">
        <w:rPr>
          <w:rFonts w:ascii="Arial" w:hAnsi="Arial" w:cs="Arial"/>
          <w:sz w:val="16"/>
        </w:rPr>
        <w:t xml:space="preserve">, </w:t>
      </w:r>
      <w:proofErr w:type="spellStart"/>
      <w:r w:rsidRPr="009217A6">
        <w:rPr>
          <w:rFonts w:ascii="Arial" w:hAnsi="Arial" w:cs="Arial"/>
          <w:sz w:val="16"/>
        </w:rPr>
        <w:t>Pàg</w:t>
      </w:r>
      <w:proofErr w:type="spellEnd"/>
      <w:r w:rsidRPr="009217A6">
        <w:rPr>
          <w:rFonts w:ascii="Arial" w:hAnsi="Arial" w:cs="Arial"/>
          <w:sz w:val="16"/>
        </w:rPr>
        <w:t xml:space="preserve">. 135. </w:t>
      </w:r>
    </w:p>
    <w:p w:rsidR="0093314D" w:rsidRPr="00B26784" w:rsidRDefault="0093314D" w:rsidP="0093314D">
      <w:pPr>
        <w:pStyle w:val="Textonotapie"/>
        <w:rPr>
          <w:rFonts w:ascii="Arial" w:hAnsi="Arial" w:cs="Arial"/>
          <w:lang w:val="es-MX"/>
        </w:rPr>
      </w:pPr>
    </w:p>
  </w:footnote>
  <w:footnote w:id="16">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BERGMAN. P.: “</w:t>
      </w:r>
      <w:smartTag w:uri="urn:schemas-microsoft-com:office:smarttags" w:element="PersonName">
        <w:smartTagPr>
          <w:attr w:name="ProductID" w:val="la Defensa"/>
        </w:smartTagPr>
        <w:r w:rsidRPr="009217A6">
          <w:rPr>
            <w:rFonts w:ascii="Arial" w:hAnsi="Arial" w:cs="Arial"/>
            <w:sz w:val="16"/>
            <w:lang w:val="es-MX"/>
          </w:rPr>
          <w:t>La Defensa</w:t>
        </w:r>
      </w:smartTag>
      <w:r w:rsidRPr="009217A6">
        <w:rPr>
          <w:rFonts w:ascii="Arial" w:hAnsi="Arial" w:cs="Arial"/>
          <w:sz w:val="16"/>
          <w:lang w:val="es-MX"/>
        </w:rPr>
        <w:t xml:space="preserve"> en Juicio”,</w:t>
      </w:r>
      <w:r w:rsidRPr="009217A6">
        <w:rPr>
          <w:rFonts w:ascii="Arial" w:hAnsi="Arial" w:cs="Arial"/>
          <w:i/>
          <w:sz w:val="16"/>
          <w:lang w:val="es-MX"/>
        </w:rPr>
        <w:t xml:space="preserve"> </w:t>
      </w:r>
      <w:r w:rsidRPr="009217A6">
        <w:rPr>
          <w:rFonts w:ascii="Arial" w:hAnsi="Arial" w:cs="Arial"/>
          <w:sz w:val="16"/>
          <w:lang w:val="es-MX"/>
        </w:rPr>
        <w:t xml:space="preserve">2° ed., </w:t>
      </w:r>
      <w:proofErr w:type="spellStart"/>
      <w:r w:rsidRPr="009217A6">
        <w:rPr>
          <w:rFonts w:ascii="Arial" w:hAnsi="Arial" w:cs="Arial"/>
          <w:sz w:val="16"/>
          <w:lang w:val="es-MX"/>
        </w:rPr>
        <w:t>Abeledo</w:t>
      </w:r>
      <w:proofErr w:type="spellEnd"/>
      <w:r w:rsidRPr="009217A6">
        <w:rPr>
          <w:rFonts w:ascii="Arial" w:hAnsi="Arial" w:cs="Arial"/>
          <w:sz w:val="16"/>
          <w:lang w:val="es-MX"/>
        </w:rPr>
        <w:t xml:space="preserve"> </w:t>
      </w:r>
      <w:proofErr w:type="spellStart"/>
      <w:r w:rsidRPr="009217A6">
        <w:rPr>
          <w:rFonts w:ascii="Arial" w:hAnsi="Arial" w:cs="Arial"/>
          <w:sz w:val="16"/>
          <w:lang w:val="es-MX"/>
        </w:rPr>
        <w:t>Perrot</w:t>
      </w:r>
      <w:proofErr w:type="spellEnd"/>
      <w:r w:rsidRPr="009217A6">
        <w:rPr>
          <w:rFonts w:ascii="Arial" w:hAnsi="Arial" w:cs="Arial"/>
          <w:sz w:val="16"/>
          <w:lang w:val="es-MX"/>
        </w:rPr>
        <w:t>, Buenos Aires, 1989, Pág. 146.</w:t>
      </w:r>
    </w:p>
    <w:p w:rsidR="0093314D" w:rsidRPr="009217A6" w:rsidRDefault="0093314D" w:rsidP="0093314D">
      <w:pPr>
        <w:pStyle w:val="Textonotapie"/>
        <w:ind w:firstLine="708"/>
        <w:rPr>
          <w:rFonts w:ascii="Arial" w:hAnsi="Arial" w:cs="Arial"/>
          <w:sz w:val="16"/>
          <w:lang w:val="es-MX"/>
        </w:rPr>
      </w:pPr>
    </w:p>
  </w:footnote>
  <w:footnote w:id="17">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RAMOS GONZÁLEZ. C. Y VÉLEZ RODRÍGUEZ. E.: </w:t>
      </w:r>
      <w:proofErr w:type="spellStart"/>
      <w:r w:rsidRPr="009217A6">
        <w:rPr>
          <w:rFonts w:ascii="Arial" w:hAnsi="Arial" w:cs="Arial"/>
          <w:sz w:val="16"/>
        </w:rPr>
        <w:t>op</w:t>
      </w:r>
      <w:proofErr w:type="spellEnd"/>
      <w:r w:rsidRPr="009217A6">
        <w:rPr>
          <w:rFonts w:ascii="Arial" w:hAnsi="Arial" w:cs="Arial"/>
          <w:sz w:val="16"/>
        </w:rPr>
        <w:t xml:space="preserve"> </w:t>
      </w:r>
      <w:proofErr w:type="spellStart"/>
      <w:r w:rsidRPr="009217A6">
        <w:rPr>
          <w:rFonts w:ascii="Arial" w:hAnsi="Arial" w:cs="Arial"/>
          <w:sz w:val="16"/>
        </w:rPr>
        <w:t>cit</w:t>
      </w:r>
      <w:proofErr w:type="spellEnd"/>
      <w:r w:rsidRPr="009217A6">
        <w:rPr>
          <w:rFonts w:ascii="Arial" w:hAnsi="Arial" w:cs="Arial"/>
          <w:sz w:val="16"/>
        </w:rPr>
        <w:t>; Pág. 50.</w:t>
      </w:r>
    </w:p>
  </w:footnote>
  <w:footnote w:id="18">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proofErr w:type="spellStart"/>
      <w:r w:rsidRPr="009217A6">
        <w:rPr>
          <w:rFonts w:ascii="Arial" w:hAnsi="Arial" w:cs="Arial"/>
          <w:sz w:val="16"/>
          <w:lang w:val="es-MX"/>
        </w:rPr>
        <w:t>Teoria</w:t>
      </w:r>
      <w:proofErr w:type="spellEnd"/>
      <w:r w:rsidRPr="009217A6">
        <w:rPr>
          <w:rFonts w:ascii="Arial" w:hAnsi="Arial" w:cs="Arial"/>
          <w:sz w:val="16"/>
          <w:lang w:val="es-MX"/>
        </w:rPr>
        <w:t xml:space="preserve"> y </w:t>
      </w:r>
      <w:proofErr w:type="spellStart"/>
      <w:r w:rsidRPr="009217A6">
        <w:rPr>
          <w:rFonts w:ascii="Arial" w:hAnsi="Arial" w:cs="Arial"/>
          <w:sz w:val="16"/>
          <w:lang w:val="es-MX"/>
        </w:rPr>
        <w:t>Parcatica</w:t>
      </w:r>
      <w:proofErr w:type="spellEnd"/>
      <w:r w:rsidRPr="009217A6">
        <w:rPr>
          <w:rFonts w:ascii="Arial" w:hAnsi="Arial" w:cs="Arial"/>
          <w:sz w:val="16"/>
          <w:lang w:val="es-MX"/>
        </w:rPr>
        <w:t xml:space="preserve">. </w:t>
      </w:r>
      <w:proofErr w:type="spellStart"/>
      <w:r w:rsidRPr="009217A6">
        <w:rPr>
          <w:rFonts w:ascii="Arial" w:hAnsi="Arial" w:cs="Arial"/>
          <w:sz w:val="16"/>
          <w:lang w:val="es-MX"/>
        </w:rPr>
        <w:t>Pag</w:t>
      </w:r>
      <w:proofErr w:type="spellEnd"/>
      <w:r w:rsidRPr="009217A6">
        <w:rPr>
          <w:rFonts w:ascii="Arial" w:hAnsi="Arial" w:cs="Arial"/>
          <w:sz w:val="16"/>
          <w:lang w:val="es-MX"/>
        </w:rPr>
        <w:t xml:space="preserve"> 54-55</w:t>
      </w:r>
    </w:p>
  </w:footnote>
  <w:footnote w:id="19">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 xml:space="preserve">MONTES CALDERÓN. </w:t>
      </w:r>
      <w:proofErr w:type="spellStart"/>
      <w:r w:rsidRPr="009217A6">
        <w:rPr>
          <w:rFonts w:ascii="Arial" w:hAnsi="Arial" w:cs="Arial"/>
          <w:sz w:val="16"/>
          <w:lang w:val="es-MX"/>
        </w:rPr>
        <w:t>A.:“Técnicas</w:t>
      </w:r>
      <w:proofErr w:type="spellEnd"/>
      <w:r w:rsidRPr="009217A6">
        <w:rPr>
          <w:rFonts w:ascii="Arial" w:hAnsi="Arial" w:cs="Arial"/>
          <w:sz w:val="16"/>
          <w:lang w:val="es-MX"/>
        </w:rPr>
        <w:t xml:space="preserve"> del Juicio Oral en el Sistema Penal Colombiano”,</w:t>
      </w:r>
      <w:r w:rsidRPr="009217A6">
        <w:rPr>
          <w:rFonts w:ascii="Arial" w:hAnsi="Arial" w:cs="Arial"/>
          <w:i/>
          <w:sz w:val="16"/>
          <w:lang w:val="es-MX"/>
        </w:rPr>
        <w:t xml:space="preserve"> </w:t>
      </w:r>
      <w:r w:rsidRPr="009217A6">
        <w:rPr>
          <w:rFonts w:ascii="Arial" w:hAnsi="Arial" w:cs="Arial"/>
          <w:sz w:val="16"/>
          <w:lang w:val="es-MX"/>
        </w:rPr>
        <w:t xml:space="preserve">1era. edición; </w:t>
      </w:r>
      <w:proofErr w:type="spellStart"/>
      <w:r w:rsidRPr="009217A6">
        <w:rPr>
          <w:rFonts w:ascii="Arial" w:hAnsi="Arial" w:cs="Arial"/>
          <w:sz w:val="16"/>
          <w:lang w:val="es-MX"/>
        </w:rPr>
        <w:t>Quebecor</w:t>
      </w:r>
      <w:proofErr w:type="spellEnd"/>
      <w:r w:rsidRPr="009217A6">
        <w:rPr>
          <w:rFonts w:ascii="Arial" w:hAnsi="Arial" w:cs="Arial"/>
          <w:sz w:val="16"/>
          <w:lang w:val="es-MX"/>
        </w:rPr>
        <w:t xml:space="preserve"> </w:t>
      </w:r>
      <w:proofErr w:type="spellStart"/>
      <w:r w:rsidRPr="009217A6">
        <w:rPr>
          <w:rFonts w:ascii="Arial" w:hAnsi="Arial" w:cs="Arial"/>
          <w:sz w:val="16"/>
          <w:lang w:val="es-MX"/>
        </w:rPr>
        <w:t>World</w:t>
      </w:r>
      <w:proofErr w:type="spellEnd"/>
      <w:r w:rsidRPr="009217A6">
        <w:rPr>
          <w:rFonts w:ascii="Arial" w:hAnsi="Arial" w:cs="Arial"/>
          <w:sz w:val="16"/>
          <w:lang w:val="es-MX"/>
        </w:rPr>
        <w:t xml:space="preserve"> Bogotá S.A, Bogotá D.C, 2003, </w:t>
      </w:r>
      <w:proofErr w:type="spellStart"/>
      <w:r w:rsidRPr="009217A6">
        <w:rPr>
          <w:rFonts w:ascii="Arial" w:hAnsi="Arial" w:cs="Arial"/>
          <w:sz w:val="16"/>
          <w:lang w:val="es-MX"/>
        </w:rPr>
        <w:t>Pag</w:t>
      </w:r>
      <w:proofErr w:type="spellEnd"/>
      <w:r w:rsidRPr="009217A6">
        <w:rPr>
          <w:rFonts w:ascii="Arial" w:hAnsi="Arial" w:cs="Arial"/>
          <w:sz w:val="16"/>
          <w:lang w:val="es-MX"/>
        </w:rPr>
        <w:t>.  161.</w:t>
      </w:r>
    </w:p>
    <w:p w:rsidR="0093314D" w:rsidRPr="009217A6" w:rsidRDefault="0093314D" w:rsidP="0093314D">
      <w:pPr>
        <w:pStyle w:val="Textonotapie"/>
        <w:ind w:firstLine="708"/>
        <w:rPr>
          <w:rFonts w:ascii="Arial" w:hAnsi="Arial" w:cs="Arial"/>
          <w:sz w:val="16"/>
          <w:lang w:val="es-MX"/>
        </w:rPr>
      </w:pPr>
    </w:p>
  </w:footnote>
  <w:footnote w:id="20">
    <w:p w:rsidR="0093314D" w:rsidRPr="009217A6" w:rsidRDefault="0093314D" w:rsidP="0093314D">
      <w:pPr>
        <w:pStyle w:val="Textonotapie"/>
        <w:ind w:firstLine="708"/>
        <w:rPr>
          <w:rFonts w:ascii="Arial" w:hAnsi="Arial" w:cs="Arial"/>
          <w:sz w:val="16"/>
        </w:rPr>
      </w:pPr>
      <w:r w:rsidRPr="009217A6">
        <w:rPr>
          <w:rStyle w:val="Refdenotaalpie"/>
          <w:rFonts w:ascii="Arial" w:hAnsi="Arial" w:cs="Arial"/>
          <w:sz w:val="16"/>
        </w:rPr>
        <w:footnoteRef/>
      </w:r>
      <w:r w:rsidRPr="009217A6">
        <w:rPr>
          <w:rFonts w:ascii="Arial" w:hAnsi="Arial" w:cs="Arial"/>
          <w:sz w:val="16"/>
        </w:rPr>
        <w:t xml:space="preserve"> YOUNG TOMAS, E.J. </w:t>
      </w:r>
      <w:proofErr w:type="spellStart"/>
      <w:r w:rsidRPr="009217A6">
        <w:rPr>
          <w:rFonts w:ascii="Arial" w:hAnsi="Arial" w:cs="Arial"/>
          <w:sz w:val="16"/>
        </w:rPr>
        <w:t>Op</w:t>
      </w:r>
      <w:proofErr w:type="spellEnd"/>
      <w:r w:rsidRPr="009217A6">
        <w:rPr>
          <w:rFonts w:ascii="Arial" w:hAnsi="Arial" w:cs="Arial"/>
          <w:sz w:val="16"/>
        </w:rPr>
        <w:t xml:space="preserve">. </w:t>
      </w:r>
      <w:proofErr w:type="spellStart"/>
      <w:r w:rsidRPr="009217A6">
        <w:rPr>
          <w:rFonts w:ascii="Arial" w:hAnsi="Arial" w:cs="Arial"/>
          <w:sz w:val="16"/>
        </w:rPr>
        <w:t>Cit</w:t>
      </w:r>
      <w:proofErr w:type="spellEnd"/>
      <w:r w:rsidRPr="009217A6">
        <w:rPr>
          <w:rFonts w:ascii="Arial" w:hAnsi="Arial" w:cs="Arial"/>
          <w:sz w:val="16"/>
        </w:rPr>
        <w:t xml:space="preserve">, </w:t>
      </w:r>
      <w:proofErr w:type="spellStart"/>
      <w:r w:rsidRPr="009217A6">
        <w:rPr>
          <w:rFonts w:ascii="Arial" w:hAnsi="Arial" w:cs="Arial"/>
          <w:sz w:val="16"/>
        </w:rPr>
        <w:t>Pàg</w:t>
      </w:r>
      <w:proofErr w:type="spellEnd"/>
      <w:r w:rsidRPr="009217A6">
        <w:rPr>
          <w:rFonts w:ascii="Arial" w:hAnsi="Arial" w:cs="Arial"/>
          <w:sz w:val="16"/>
        </w:rPr>
        <w:t xml:space="preserve">. 183.  se señala aquí la importancia de conocer la relación </w:t>
      </w:r>
      <w:smartTag w:uri="urn:schemas-microsoft-com:office:smarttags" w:element="place">
        <w:smartTag w:uri="urn:schemas-microsoft-com:office:smarttags" w:element="State">
          <w:r w:rsidRPr="009217A6">
            <w:rPr>
              <w:rFonts w:ascii="Arial" w:hAnsi="Arial" w:cs="Arial"/>
              <w:sz w:val="16"/>
            </w:rPr>
            <w:t>del</w:t>
          </w:r>
        </w:smartTag>
      </w:smartTag>
      <w:r w:rsidRPr="009217A6">
        <w:rPr>
          <w:rFonts w:ascii="Arial" w:hAnsi="Arial" w:cs="Arial"/>
          <w:sz w:val="16"/>
        </w:rPr>
        <w:t xml:space="preserve"> testigo con el hecho acaecido.</w:t>
      </w:r>
    </w:p>
  </w:footnote>
  <w:footnote w:id="21">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proofErr w:type="spellStart"/>
      <w:r w:rsidRPr="009217A6">
        <w:rPr>
          <w:rFonts w:ascii="Arial" w:hAnsi="Arial" w:cs="Arial"/>
          <w:sz w:val="16"/>
        </w:rPr>
        <w:t>Ibidem</w:t>
      </w:r>
      <w:proofErr w:type="spellEnd"/>
      <w:r w:rsidRPr="009217A6">
        <w:rPr>
          <w:rFonts w:ascii="Arial" w:hAnsi="Arial" w:cs="Arial"/>
          <w:sz w:val="16"/>
        </w:rPr>
        <w:t xml:space="preserve">, </w:t>
      </w:r>
      <w:proofErr w:type="spellStart"/>
      <w:r w:rsidRPr="009217A6">
        <w:rPr>
          <w:rFonts w:ascii="Arial" w:hAnsi="Arial" w:cs="Arial"/>
          <w:sz w:val="16"/>
        </w:rPr>
        <w:t>Pàg</w:t>
      </w:r>
      <w:proofErr w:type="spellEnd"/>
      <w:r w:rsidRPr="009217A6">
        <w:rPr>
          <w:rFonts w:ascii="Arial" w:hAnsi="Arial" w:cs="Arial"/>
          <w:sz w:val="16"/>
        </w:rPr>
        <w:t>. 124</w:t>
      </w:r>
    </w:p>
  </w:footnote>
  <w:footnote w:id="22">
    <w:p w:rsidR="0093314D" w:rsidRPr="009217A6" w:rsidRDefault="0093314D" w:rsidP="0093314D">
      <w:pPr>
        <w:pStyle w:val="Textonotapie"/>
        <w:ind w:firstLine="708"/>
        <w:rPr>
          <w:rFonts w:ascii="Arial" w:hAnsi="Arial" w:cs="Arial"/>
          <w:sz w:val="16"/>
        </w:rPr>
      </w:pPr>
      <w:r w:rsidRPr="009217A6">
        <w:rPr>
          <w:rStyle w:val="Refdenotaalpie"/>
          <w:rFonts w:ascii="Arial" w:hAnsi="Arial" w:cs="Arial"/>
          <w:sz w:val="16"/>
        </w:rPr>
        <w:footnoteRef/>
      </w:r>
      <w:r w:rsidRPr="009217A6">
        <w:rPr>
          <w:rFonts w:ascii="Arial" w:hAnsi="Arial" w:cs="Arial"/>
          <w:sz w:val="16"/>
        </w:rPr>
        <w:t xml:space="preserve"> FONTANET MALDONADO. J.: </w:t>
      </w:r>
      <w:r w:rsidRPr="009217A6">
        <w:rPr>
          <w:rFonts w:ascii="Arial" w:hAnsi="Arial" w:cs="Arial"/>
          <w:i/>
          <w:sz w:val="16"/>
        </w:rPr>
        <w:t xml:space="preserve">“Principios y Técnicas de </w:t>
      </w:r>
      <w:smartTag w:uri="urn:schemas-microsoft-com:office:smarttags" w:element="PersonName">
        <w:smartTagPr>
          <w:attr w:name="ProductID" w:val="la Pr￡ctica Forense"/>
        </w:smartTagPr>
        <w:r w:rsidRPr="009217A6">
          <w:rPr>
            <w:rFonts w:ascii="Arial" w:hAnsi="Arial" w:cs="Arial"/>
            <w:i/>
            <w:sz w:val="16"/>
          </w:rPr>
          <w:t>la Práctica Forense</w:t>
        </w:r>
      </w:smartTag>
      <w:r w:rsidRPr="009217A6">
        <w:rPr>
          <w:rFonts w:ascii="Arial" w:hAnsi="Arial" w:cs="Arial"/>
          <w:i/>
          <w:sz w:val="16"/>
        </w:rPr>
        <w:t xml:space="preserve">”, </w:t>
      </w:r>
      <w:r w:rsidRPr="009217A6">
        <w:rPr>
          <w:rFonts w:ascii="Arial" w:hAnsi="Arial" w:cs="Arial"/>
          <w:sz w:val="16"/>
        </w:rPr>
        <w:t xml:space="preserve">1era </w:t>
      </w:r>
      <w:proofErr w:type="spellStart"/>
      <w:r w:rsidRPr="009217A6">
        <w:rPr>
          <w:rFonts w:ascii="Arial" w:hAnsi="Arial" w:cs="Arial"/>
          <w:sz w:val="16"/>
        </w:rPr>
        <w:t>ed</w:t>
      </w:r>
      <w:proofErr w:type="spellEnd"/>
      <w:r w:rsidRPr="009217A6">
        <w:rPr>
          <w:rFonts w:ascii="Arial" w:hAnsi="Arial" w:cs="Arial"/>
          <w:sz w:val="16"/>
        </w:rPr>
        <w:t xml:space="preserve">, Jurídica, San Juan, 1999, Pág.43. </w:t>
      </w:r>
      <w:r w:rsidRPr="009217A6">
        <w:rPr>
          <w:rFonts w:ascii="Arial" w:hAnsi="Arial" w:cs="Arial"/>
          <w:i/>
          <w:sz w:val="16"/>
        </w:rPr>
        <w:t xml:space="preserve">  </w:t>
      </w:r>
    </w:p>
  </w:footnote>
  <w:footnote w:id="23">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lang w:val="es-MX"/>
        </w:rPr>
        <w:t xml:space="preserve">MONTES CALDERÓN. </w:t>
      </w:r>
      <w:proofErr w:type="spellStart"/>
      <w:r w:rsidRPr="009217A6">
        <w:rPr>
          <w:rFonts w:ascii="Arial" w:hAnsi="Arial" w:cs="Arial"/>
          <w:sz w:val="16"/>
          <w:lang w:val="es-MX"/>
        </w:rPr>
        <w:t>A.:</w:t>
      </w:r>
      <w:r w:rsidRPr="009217A6">
        <w:rPr>
          <w:rFonts w:ascii="Arial" w:hAnsi="Arial" w:cs="Arial"/>
          <w:i/>
          <w:sz w:val="16"/>
          <w:lang w:val="es-MX"/>
        </w:rPr>
        <w:t>“Técnicas</w:t>
      </w:r>
      <w:proofErr w:type="spellEnd"/>
      <w:r w:rsidRPr="009217A6">
        <w:rPr>
          <w:rFonts w:ascii="Arial" w:hAnsi="Arial" w:cs="Arial"/>
          <w:i/>
          <w:sz w:val="16"/>
          <w:lang w:val="es-MX"/>
        </w:rPr>
        <w:t xml:space="preserve"> del Juicio Oral en el Sistema Penal Colombiano”, </w:t>
      </w:r>
      <w:r w:rsidRPr="009217A6">
        <w:rPr>
          <w:rFonts w:ascii="Arial" w:hAnsi="Arial" w:cs="Arial"/>
          <w:sz w:val="16"/>
          <w:lang w:val="es-MX"/>
        </w:rPr>
        <w:t xml:space="preserve">1era. edición; </w:t>
      </w:r>
      <w:proofErr w:type="spellStart"/>
      <w:r w:rsidRPr="009217A6">
        <w:rPr>
          <w:rFonts w:ascii="Arial" w:hAnsi="Arial" w:cs="Arial"/>
          <w:sz w:val="16"/>
          <w:lang w:val="es-MX"/>
        </w:rPr>
        <w:t>Quebecor</w:t>
      </w:r>
      <w:proofErr w:type="spellEnd"/>
      <w:r w:rsidRPr="009217A6">
        <w:rPr>
          <w:rFonts w:ascii="Arial" w:hAnsi="Arial" w:cs="Arial"/>
          <w:sz w:val="16"/>
          <w:lang w:val="es-MX"/>
        </w:rPr>
        <w:t xml:space="preserve"> </w:t>
      </w:r>
      <w:proofErr w:type="spellStart"/>
      <w:r w:rsidRPr="009217A6">
        <w:rPr>
          <w:rFonts w:ascii="Arial" w:hAnsi="Arial" w:cs="Arial"/>
          <w:sz w:val="16"/>
          <w:lang w:val="es-MX"/>
        </w:rPr>
        <w:t>World</w:t>
      </w:r>
      <w:proofErr w:type="spellEnd"/>
      <w:r w:rsidRPr="009217A6">
        <w:rPr>
          <w:rFonts w:ascii="Arial" w:hAnsi="Arial" w:cs="Arial"/>
          <w:sz w:val="16"/>
          <w:lang w:val="es-MX"/>
        </w:rPr>
        <w:t xml:space="preserve"> Bogotá S.A, Bogotá D.C, 2003, Pág.</w:t>
      </w:r>
      <w:r w:rsidRPr="009217A6">
        <w:rPr>
          <w:rFonts w:ascii="Arial" w:hAnsi="Arial" w:cs="Arial"/>
          <w:sz w:val="16"/>
        </w:rPr>
        <w:t xml:space="preserve"> 164</w:t>
      </w:r>
    </w:p>
  </w:footnote>
  <w:footnote w:id="24">
    <w:p w:rsidR="0093314D" w:rsidRPr="009217A6" w:rsidRDefault="0093314D" w:rsidP="0093314D">
      <w:pPr>
        <w:pStyle w:val="Textonotapie"/>
        <w:ind w:firstLine="708"/>
        <w:rPr>
          <w:rFonts w:ascii="Arial" w:hAnsi="Arial" w:cs="Arial"/>
          <w:sz w:val="16"/>
        </w:rPr>
      </w:pPr>
      <w:r w:rsidRPr="009217A6">
        <w:rPr>
          <w:rStyle w:val="Refdenotaalpie"/>
          <w:rFonts w:ascii="Arial" w:hAnsi="Arial" w:cs="Arial"/>
          <w:sz w:val="16"/>
        </w:rPr>
        <w:footnoteRef/>
      </w:r>
      <w:r w:rsidRPr="009217A6">
        <w:rPr>
          <w:rFonts w:ascii="Arial" w:hAnsi="Arial" w:cs="Arial"/>
          <w:sz w:val="16"/>
        </w:rPr>
        <w:t xml:space="preserve">RAMOS GONZÁLEZ, CARLOS Y VÉLEZ RODRÍGUEZ, ENRIQUE, </w:t>
      </w:r>
      <w:r w:rsidRPr="009217A6">
        <w:rPr>
          <w:rFonts w:ascii="Arial" w:hAnsi="Arial" w:cs="Arial"/>
          <w:i/>
          <w:sz w:val="16"/>
        </w:rPr>
        <w:t xml:space="preserve">“Teoría y Práctica de </w:t>
      </w:r>
      <w:smartTag w:uri="urn:schemas-microsoft-com:office:smarttags" w:element="PersonName">
        <w:smartTagPr>
          <w:attr w:name="ProductID" w:val="獷؉ (얨؉ୠूቿⲝ谀狀獷猄獷畤獷瘈獷痨獷疀獷痘獷痄獷疴獷ସॅ (⬐ौዘ؄}ሔⲝꗜ谀狀獷猄獷畤獷瘈獷痨獷疀獷痘獷痄獷疴獷癠ॄ (애؉؃ሁⲝ谀狀獷猄獷畤獷瘈獷痨獷疀獷痘獷痄獷疴獷졨׮ (⣈׸૨؊㹼ヸሾⲝ蠀2劸㳞贌 䕄䥆䥎ㅾ倮䙄뻯㳞贌㳞贌&amp;ᴎDefinición y categorización de Pandillas.pdfራⲝ彸谀狀獷猄獷畤獷瘈獷痨獷疀獷痘獷痄獷疴獷؉ (연؉뤘׽ዀⲝ谀狀獷猄獷畤獷瘈獷痨獷疀獷痘獷痄獷疴獷죐׮ (Ἀ7쨸؉ዽⲝǬ谀狀獷猄獷畤獷瘈獷痨獷疀獷痘獷痄獷疴獷줸׮ (২׭쩠؉ዪⲝ兩谀狀獷猄獷畤獷瘈獷痨獷疀獷痘獷痄獷疴獷؉ (Ề7쨐؉ኇⲝ谀狀獷猄獷畤獷瘈獷痨獷疀獷痘獷痄獷疴獷೘ॅ (⭰ौ킐ुኼⲝ谀狀獷猄獷畤獷瘈獷痨獷疀獷痘獷痄獷疴獷즠׮ (੸׭쪰؉ኩⲝ褀借俠⃐㫪ၩ〫鴰䌯尺瀀㄀뤀똼ᆃ唀敳獲尀܀Ѐ抾儵륚똼⚃萀Ā㈀唀猀攀爀猀䀀猀栀攀氀氀㌀㈀⸀搀氀氀Ⰰⴀ㈀㄀㠀㄀㌀᐀Ɔ搈ŸŸᮈឨŰ㳄ヸ獨铽紙罔ࠎ⧸ϙ椰ϝ&#10;타ጶⲝC谀昀痎荜痎葠痎桌痎肴痎葌痎萸痎朘痎萜痎萈痎菸痎菤痎壬痎⪸痎䳔痎뉸׵蹨׹Ȃᨁ躰׹⪸痎àװ⪸痎°װ⪸痎⪸痎⪸痎⪸痎⪸痎⪸痎直غ⪸痎 ፇⲝņ蠀鵠׬鋨ϝ긣瓞섒瓞섓瓞섔瓞섕瓞섖瓞섗瓞섘誩瓞섿誶瓞셀ꠣ瓞셍ꘉ瓞셎꘢瓞셏ꡎ瓞셐ꡳ瓞셑ꙛ瓞셒ꙴ瓞셓ꢭ瓞셔깩瓞셕꣆瓞셖꼱瓞셗꽍瓞션ꤲ瓞셙ꥤ瓞셁ꦶ瓞셄ꨂ瓞셅ꪥ瓞셚ꫥ瓞셛뎆瓞셜꽰瓞셝냿瓞셞넸瓞셟᎐ⲝ᧠耀Registry\Machine\Software\Classes\CLSID\{4336A54D-038B-4685-AB02-99BB52D3FB8B}\InProcServer32똼릃켼⚃글Ԁ䄀爀洀愀渀搀漀 匀攀爀爀愀渀漀᠀㄀ꈼᅲ䐀䍏䵕繅1搀܀Ѐ릾똼ꈼ♲쬀̀㨀䐀漀挀甀洀攀渀琀猀䀀猀栀攀氀氀㌀㈀⸀搀氀氀Ⰰⴀ㈀㄀㜀㜀　᠀Ꭱⲝǘ退觘百袠百즸ϛ跼百覈百趨百뮤發믈發踜百믜發뮴發䑐㠹兀ϙ즸ϛ짌ϛٸ發۞發阨Ϝ掠ϙٰٰ䲠ϙbideᏲⲝ,退觘百袠百ᩰϙ跼百覈百趨百뮤發믈發踜百믜發뮴發䑐㠹斠ϙᩰϙ᩸ϙ䎸發䐞發.儐ϙٰٰ䱸ϙဃⲝ退觘百袠百쇴ϝ跼百覈百趨百뮤發믈發踜百믜發뮴發䑐㠹鐸״쇴ϝ쇸ϝѨ登ӎ登t兠ϙٰٰ䮈ϙŊၜⲝ贀借俠⃐㫪ၩ〫鴰䌯尺瀀㄀뤀똼ᆃ唀敳獲尀܀Ѐ抾儵륚똼⚃萀Ā㈀唀猀攀爀猀䀀猀栀攀氀氀㌀㈀⸀搀氀氀Ⰰⴀ㈀㄀㠀㄀㌀᐀怀㄀뤀켼ႃ䄀䵒乁繄1䠀܀Ѐ릾똼릃켼⚃글Ԁ䄀爀洀愀渀搀漀 匀攀爀爀愀渀漀᠀簀㄀ꈼᅲ䐀䍏䵕繅1搀܀Ѐ릾똼ꈼ♲쬀̀㨀䐀漀挀甀洀攀渀琀猀䀀猀栀攀氀氀㌀㈀⸀搀氀氀Ⰰⴀ㈀㄀㜀㜀　᠀᠀ၭⲝ鐀ꪸ痮췯覫ကĚȴનȃԀꃧ⡜⍡ǋ⪀圀搀⸀䐀漀洀攀渀琀⸀㌀㌀㤀㐀㐀Ṩ׽⏸8ࠀĐ怀 ج ޼叐ϜĒӸ瓆      ꅀ׻ڄ٬ٴ嘀ഀ      Ẩ澋ဘ쀂跘׹䰀䄀伀一䤀䄀#᠀Ⴞⲝ耀ʰ澚だ澚ᗔ澚⤌澚⾌澚ゐ澚ɒ#জ澚ᦐ澚鬔澗ৌ澚ঀ澚ᶀ澚㢠澚㦄澚㥰澚غ야澗劤澗噀Ϝ蜼澗鵨澗鵐澗蟰澗좌澗袀澗裈澗衰澗袴澗袠澗ȍڊغ᠀᠀჏ⲝ贀借俠⃐㫪ၩ〫鴰䌯尺瀀㄀뤀똼ᆃ唀敳獲尀܀Ѐ抾儵륚똼⚃萀Ā㈀唀猀攀爀猀䀀猀栀攀氀氀㌀㈀⸀搀氀氀Ⰰⴀ㈀㄀㠀㄀㌀᐀怀㄀뤀켼ႃ䄀䵒乁繄1䠀܀Ѐ릾똼릃켼⚃글Ԁ䄀爀洀愀渀搀漀 匀攀爀爀愀渀漀᠀簀㄀ꈼᅲ䐀䍏䵕繅1搀܀Ѐ릾똼ꈼ♲쬀̀㨀䐀漀挀甀洀攀渀琀猀䀀猀栀攀氀氀㌀㈀⸀搀氀氀Ⰰⴀ㈀㄀㜀㜀　᠀ƎᄘⲝI耀ȝÐ䶰؄ᄠᄩⲝ耀Ɗ白陜癹阔癹לל附癹铌癹簴発؉פ䆀럿ంغ쀦࿭白풜皉䶰؄ჿH ሇᅺⲝŸ谀昀痎荜痎葠痎桌痎肴痎葌痎萸痎朘痎萜痎萈痎菸痎菤痎壬痎⪸痎뉐׽䳔痎雐؅할ी원؆n硩؆⪸痎쯰װ⪸痎잘ी⪸痎⪸痎⪸痎쟠ी⪸痎⪸痎쀰ा⪸痎؉؉⪸痎૰؈ 㴠ؖᆋⲝ耀̒借俠⃐㫪ၩ〫鴰䌯尺瀀㄀뤀똼ᆃ唀敳獲尀܀Ѐ抾儵륚똼⚃萀Ā㈀唀猀攀爀猀䀀猀栀攀氀氀㌀㈀⸀搀氀氀Ⰰⴀ㈀㄀㠀㄀㌀᐀怀㄀뤀켼ႃ䄀䵒乁繄1䠀܀Ѐ릾똼릃켼⚃글Ԁ䄀爀洀愀渀搀漀 匀攀爀爀愀渀漀᠀簀㄀ꈼᅲ䐀䍏䵕繅1搀܀Ѐ릾똼ꈼ♲쬀̀㨀䐀漀挀甀洀攀渀琀猀䀀猀栀攀氀氀㌀㈀⸀搀氀氀Ⰰⴀ㈀㄀㜀㜀　᠀ᇄⲝ耀ɿ借俠⃐㫪ၩ〫鴰䌯尺瀀㄀뤀똼ᆃ唀敳獲尀܀Ѐ抾儵륚똼⚃萀Ā㈀唀猀攀爀猀䀀猀栀攀氀氀㌀㈀⸀搀氀氀Ⰰⴀ㈀㄀㠀㄀㌀᐀怀㄀뤀켼ႃ䄀䵒乁繄1䠀܀Ѐ릾똼릃켼⚃글Ԁ䄀爀洀愀渀搀漀 匀攀爀爀愀渀漀᠀簀㄀쐼ᅳ䐀䍏䵕繅1搀܀Ѐ릾똼쐼♳쬀̀㨀䐀漀挀甀洀攀渀琀猀䀀猀栀攀氀氀㌀㈀⸀搀氀氀Ⰰⴀ㈀㄀㜀㜀　᠀　篘ᘕⲝ买蠀䒐Ϟ曠ϙ最ϙ朠ϙ杀ϙﴀϞᘦⲝ耀d借俠⃐㫪ၩ〫鴰䌯尺瀀㄀뤀똼ᆃ唀敳獲尀܀Ѐ抾儵륚똼⚃萀Ā㈀唀猀攀爀猀䀀猀栀攀氀氀㌀㈀⸀搀氀氀Ⰰⴀ㈀㄀㠀㄀㌀᐀怀㄀뤀켼ႃ䄀䵒乁繄1䠀܀Ѐ릾똼릃켼⚃글Ԁ䄀爀洀愀渀搀漀 匀攀爀爀愀渀漀᠀㄀ꈼᅲ䐀䍏䵕繅1搀܀Ѐ릾똼ꈼ♲쬀̀㨀䐀漀挀甀洀攀渀琀猀䀀猀栀攀氀氀㌀㈀⸀搀氀氀Ⰰⴀ㈀㄀㜀㜀　᠀ᙷⲝ蠀䔸Ϟ䕐Ϟ䕨Ϟ棠ϙ䖀Ϟ䖘Ϟ ⲝ蠀嬠״寠״寸״跘״尐״跸״ᛑⲝǈ蠀ꖀ׵鎸״ꤰ׸鏘״꥘׸ꖘ׵Ɯ茸ŸƞᮈᑘƖ蒘뱀⃠؍Ǝ菈Ÿƀᮈ느ؕŸ㳄ヸ蓘㰔ヸ买ミ磈爈琀疀Ű耘Ÿ送贑罔ఎ汈ϝ㰔ヸ买ミ臈獨疀Ū繨㰔ヸ买ミ疀Ţ蓨ŸŤᮈଈŜ荸㰔ヸ买ミ疀Ŕ蕸ŸŖᮈŎ㳄ヸ藸㰔ヸ买ミை虈琀疀ņ蘈Ÿĸᮈ尨İ㳄ヸ蚈㰔ヸ买ミ薸蛘琀疀Ĩ蚘ŸĪᮈଈĢ㳄ヸ蜘㰔ヸ买ミ虈蝨琀疀Ě蜨ŸĜᮈଈĔ㳄ヸ螨㰔ヸ买ミ蛘蟸琀疀Č螸ŸĎᮈ兩Ć㳄ヸ蠸㰔ヸ买ミ蝨袈琀疀Ǿ衈Ÿǰᮈ兩Ǩ㳄ヸ裈㰔ヸ买ミ蟸褘琀疀Ǡ裘ŸǢᮈ尨ǚ㳄ヸ襘㰔ヸ买ミ袈覨琀疀ǒ襨Ÿǔᮈ兩ǌ㳄ヸ觨㰔ヸ买ミ褘訸琀疀Ǆ觸Ÿǆᮈ侮ƾ㳄ヸ詸㰔ヸ买ミ覨諈琀疀ƶ誈ŸƨᮈߠƠ㳄ヸ謈㰔ヸ买ミ訸識琀疀Ƙ謘ŸƚᮈҐƒ㳄ヸ讘㰔ヸ买ミ諈诨琀疀Ɗ讨ŸƌᮈƄ㳄ヸ谨㰔ヸ买ミ識豸琀疀ż谸՘邷㨐箨˸؈쥰װÈDirección郝夙笞ࠎ ूᶐृ타㶤☆M踀http㶧☆w踀http⻜橝㶢☆\谀삈瘟㴸4㶽☆،踀http⻜橝㶸☆蠀耀،￼㶻☆踀http⻜橝㶶☆踀http豨ु㶱☆踀http豨ु㵌☆谀쇤澗㲨4澗豨ु郹琐筴ࡰ׻સ׭Ȁ筶踰2㯠4铽紙筐ࠎ๰ॆ渠ϝ&#10;타㌐☂U蠀؇靖؈㌈☂蠀롼挰런ू렴挰랄挰Јॄ用Ϝ؋霈9㌀☂ꝼ蠀؇ु㌸☂ꬌ蠀롼挰렀ू렴挰랄挰璨Ϝ疨Ϝ؋霈9㌰☂ꆬ蠀؇﫸؈㌨☂ฬ蠀롼挰렐ू렴挰랄挰用Ϝ瘨Ϝ؋霈9㌠☂ᇬ蠀؇ु㍘☂ᖬ蠀롼挰렴挰랄挰疨Ϝ癨Ϝ؋溘:㍐☂ㄌ蠀롼挰렴挰랄挰瘨Ϝ皨Ϝ؋蹨;㍈☂㰜蠀롼挰렠ू렴挰랄挰癨Ϝ眨Ϝ؋霈9㍀☂❌蠀؇ु㍸☂꡼蠀롼挰렰ू렴挰랄挰皨Ϝ瞨Ϝ؋霈9㍰☂括蠀؇ర؈㍨☂嫜蠀롼挰례ू렴挰랄挰眨Ϝ砨Ϝ؋霈9㍠☂潔蠀؇ु㊘☂牔蠀롼挰롐ू렴挰랄挰瞨Ϝ碨Ϝ؋霈9㊐☂畔蠀؇ु㊈☂蠀롼挰론ू렴挰랄挰砨Ϝ礨Ϝ؋霈9㊀☂蠀؇ु㊸☂蠀롼挰롰ू렴挰랄挰碨Ϝ禨Ϝ؋霈9㊰☂蠀؇﫸؈㊨☂蠀롼挰뢀ू렴挰랄挰礨Ϝ稨Ϝ؋霈9㊠☂逺蠀؇ु㋘☂뙦蠀롼挰뢐ू렴挰랄挰禨Ϝ窨Ϝ؋霈9㋐☂昀蠀؇ﬨ؈㋈☂蠀롼挰뢠ू렴挰랄挰稨Ϝ笨Ϝ؋霈9㋀☂蠀؇ఈ؈㋸☂蠀롼挰뢰ू렴挰랄挰窨Ϝ箨Ϝ؋霈9㋰☂昀蠀؇ర؈㋨☂蠀롼挰룀ू렴挰랄挰笨Ϝ簨Ϝ؋霈9㋠☂蠀؇쎰ी㈘☂蠀롼挰룐ू렴挰랄挰箨Ϝ粨Ϝ؋霈9㈐☂蠀؇됐؅㈈☂ጬ蠀롼挰룠ू렴挰랄挰簨Ϝ紨Ϝ؋隐9㈀☂خ蠀؇ु㈸☂蠀롼挰룰ू렴挰랄挰粨Ϝ綨Ϝ؋霈9㈰☂䓔蠀؇ﭘ؈㈨☂⼁蠀롼挰뤀ू렴挰랄挰紨Ϝ縨Ϝ؋霈9㈠☂㈀蠀؇ൈ؈㉘☂蠀롼挰뤐ू렴挰랄挰綨Ϝ纨Ϝ؋霈9㉐☂ጬ蠀؇ﮈ؈㉈☂Ƴ蠀롼挰荘׽렴挰랄挰縨Ϝ缨Ϝ؋霈9㉀☂蠀؇驀׽㉸☂蚄蠀롼挰荨׽렴挰랄挰纨Ϝ羨Ϝ؋霈9㉰☂规蠀؇൰؈㉨☂蠀롼挰荸׽렴挰랄挰缨Ϝ耨Ϝ؋霈9㉠☂蠀؇ި؈⶘☂蠀롼挰莈׽렴挰랄挰羨Ϝ肨Ϝ؋霈9ⶐ☂蠀؇൰؈ⶈ☂2蠀롼挰莘׽렴挰랄挰耨Ϝ脨Ϝ؋隐9ⶀ☂r蠀؇ुⶸ☂¤蠀롼挰렴挰랄挰肨Ϝ腨Ϝ؋褰9ⶰ☂Ê蠀롼挰렴挰랄挰脨Ϝ膨Ϝ؋蹨;ⶨ☂ô蠀롼挰렴挰랄挰腨Ϝ臨Ϝ؋溘:ⶠ☂Ļ蠀롼挰莨׽렴挰랄挰膨Ϝ艨Ϝ؋霈9ⷘ☂Ɖ蠀؇﮸؈ⷐ☂0蠀롼挰렴挰랄挰臨Ϝ芨Ϝ؋褰9ⷈ☂i蠀롼挰렴挰랄挰艨Ϝ苨Ϝ؋蹨;ⷀ☂¥蠀롼挰렴挰랄挰芨Ϝ茨Ϝ؋溘:ⷸ☂Ý蠀롼挰莸׽렴挰랄挰苨Ϝ菨Ϝ؋霈9ⷰ☂Ĺ蠀؇莨Ϝⷨ☂Ŕ踀ŕLa Mediaci￳ Familiarťⷠ☂Ŧ蠀롼挰렴挰랄挰茨Ϝ萨Ϝ؋鞀9ⴘ☂Ɛ蠀롼挰렴挰랄挰菨Ϝ葨Ϝ؋袸9ⴐ☂蠀롼挰렴挰랄挰萨Ϝ蒨Ϝ؋蹨;ⴈ☂蠀롼挰렴挰랄挰葨Ϝ蓨Ϝ؋褰9ⴀ☂蔈蠀롼挰렴挰랄挰蒨Ϝ蔨Ϝ؋蹨;ⴸ☂ጬ蠀롼挰렴挰랄挰蓨Ϝ蕨Ϝ؋溘:ⴰ☂ؿ蠀롼挰렴挰랄挰蔨Ϝ薨Ϝ؋褰9⴨☂蠀롼挰렴挰랄挰蕨Ϝ藨Ϝ؋蹨;ⴠ☂i蠀롼挰렴挰랄挰薨Ϝ蘨Ϝ؋溘:ⵘ☂蠀롼挰렴挰랄挰藨Ϝ虨Ϝ؋血9ⵐ☂蠀롼挰렴挰랄挰蘨Ϝ蚨Ϝ؋血9ⵈ☂蠀롼挰렴挰랄挰虨Ϝ蛨Ϝ؋蹨;ⵀ☂ጬ蠀롼挰렴挰랄挰蚨Ϝ蜨Ϝ؋褰9⵸☂ē蠀롼挰렴挰랄挰蛨Ϝ蝨Ϝ؋蹨;⵰☂ 蠀롼挰렴挰랄挰蜨Ϝ螨Ϝ؋溘:⵨☂n蠀롼挰렴挰랄挰蝨Ϝ蟨Ϝ؋鞀9ⵠ☂r蠀롼挰렴挰랄挰螨Ϝ蠨Ϝ؋袸9Ⲙ☂e蠀롼挰렴挰랄挰蟨Ϝ表Ϝ؋蹨;Ⲑ☂o蠀롼挰렴挰랄挰蠨Ϝ袨Ϝ؋溘:Ⲉ☂ 蠀롼挰렴挰랄挰表Ϝ裨Ϝ؋蹨;Ⲁ☂칰蠀롼挰렴挰랄挰袨Ϝ褨Ϝ؋褰9Ⲹ☂군蠀롼挰렴挰랄挰裨Ϝ襨Ϝ؋蹨;Ⲱ☂蠀롼挰菈׽렴挰랄挰褨Ϝ觨Ϝ؋霈9Ⲩ☂蠀؇쎰ीⲠ☂À蠀롼挰렴挰랄挰襨Ϝ訨Ϝ؋褰9Ⳙ☂ᓸ蠀롼挰렴挰랄挰觨Ϝ詨Ϝ؋蹨;Ⳑ☂⋐蠀롼挰렴挰랄挰訨Ϝ誨Ϝ؋褰9Ⳉ☂㖀蠀롼挰렴挰랄挰詨Ϝ諨Ϝ؋血9Ⳁ☂䡀蠀롼挰렴挰랄挰誨Ϝ謨Ϝ؋蹨;⳸☂蠀롼挰菨׽렴挰랄挰諨Ϝ讨Ϝ؋霈9⳰☂嶢蠀؇韰؅⳨☂ﾰ蠀롼挰菸׽렴挰랄挰謨Ϝ谨Ϝ؋霈9Ⳡ☂蠀؇۠؈Ⱈ☂羛蠀롼挰萈׽렴挰랄挰讨Ϝ貨Ϝ؋霈9Ⱀ☂蠀؇؇Ⰸ☂蠀롼挰萘׽렴挰랄挰谨Ϝ质Ϝ؋霈9Ⰰ☂蠀؇ﯨ؈ⰸ☂뛠蠀롼挰萨׽렴挰랄挰貨Ϝ趨Ϝ؋霈9ⰰ☂쇘蠀؇䒠ॎⰨ☂촘蠀롼挰萸׽렴挰랄挰质Ϝ踨Ϝ؋霈9Ⱐ☂蠀؇ᯀूⱘ☂蠀롼挰葈׽렴挰랄挰趨Ϝ躨Ϝ؋霈9ⱐ☂蠀؇ुⱈ☂ﶘ蠀롼挰葘׽렴挰랄挰踨Ϝ輨Ϝ؋霈9ⱀ☂ૐ蠀؇ঈ؈ⱸ☂懍蠀롼挰葨׽렴挰랄挰躨Ϝ辨Ϝ؋霈9Ɒ☂蠀؇ुⱨ☂䰼蠀롼挰葸׽렴挰랄挰輨Ϝ逨Ϝ؋霈9Ⱡ☂羛蠀؇￨؉⾘☂瘀蠀롼挰蒈׽렴挰랄挰辨Ϝ邨Ϝ؋霈9⾐☂蠀؇頸؅⾈☂蠀롼挰蒘׽렴挰랄挰逨Ϝ鄨Ϝ؋霈9⾀☂蠀؇쎀ी⾸☂憒蠀롼挰蒨׽렴挰랄挰邨Ϝ醨Ϝ؋霈9⾰☂蠀؇愀ा⾨☂蠀롼挰蒸׽렴挰랄挰鄨Ϝ鈨Ϝ؋霈9⾠☂蠀؇驸׽⿘☂凊蠀롼挰蓈׽렴挰랄挰醨Ϝ銨Ϝ؋霈9⿐☂蠀؇؇⿈☂蠀롼挰蓘׽렴挰랄挰鈨Ϝ錨Ϝ؋霈9⿀☂蠀؇؉⿸☂d蠀롼挰蓨׽렴挰랄挰銨Ϝ鎨Ϝ؋霈9⿰☂蠀؇ݘ؈⿨☂M蠀롼挰蓸׽렴挰랄挰錨Ϝ聠؉؋霈9⿠☂r蠀؇ुedad. Fundación Esqu郆䨑罔ࠎ䐟ᩇ夃㽲䒧얉镕毾zt䙃䙓1灁䑰瑡aᩴ幙䣓枍㌗먨췅枟䅖䞉쟅쁫羶8뻯&amp;AppDataBN1潒浡湩g8뻯&amp;RoamingT1楍牣獯景t&lt;뻯&amp;MicrosoftL1晏楦散6뻯&amp;OfficeR1㳭ꌒ‐敒楣湥整:뻯㲹負㳭ꌒ&amp;ᥴReciente郫朑筯ࠎ褨百␀٘發PŰ뀀࢐發襨百␁XŰ뀐֌發ܜ發␆܄發hPࠀմ發褸百⌄xŰ 襈百၁#p ꀀ襘百၁#p ꀀ郇䬑筂਎?imgurl=http://news.china.com/zh_cn/photo/news/1294/20001129/images/40522_8380_bush-children.jpg&amp;imgrefurl=http://news.china.com/zh_cn/photo/news/1294/20001129/40522.html&amp;h=450&amp;w=312&amp;sz=31&amp;tbnid=usfPH_6VAB0J:&amp;tbnh=123&amp;tbnw=85&amp;郈䐑筮എ借俠⃐㫪ၩ〫鴰䌯尺瀀㄀뤀똼ᆃ唀敳獲尀܀Ѐ抾儵륚똼⚃萀Ā㈀唀猀攀爀猀䀀猀栀攀氀氀㌀㈀⸀搀氀氀Ⰰⴀ㈀㄀㠀㄀㌀᐀怀㄀뤀켼ႃ䄀䵒乁繄1䠀܀Ѐ릾똼릃켼⚃글Ԁ䄀爀洀愀渀搀漀 匀攀爀爀愀渀漀᠀一㄀뤀켼ኃ䄠灰慄慴㠀܀Ѐ릾똼릃켼⚃촀̀䄀瀀瀀䐀愀琀愀ᘀ一㄀뤀ļႦ删慯業杮㠀܀Ѐ릾똼릃ļ⚦츀̀刀漀愀洀椀渀最ᘀ ￼郦欐筡초؉젰؉ὲퟥĚȴનȃԀ檐⍡ǋ⪀圀漀爀搀⸀䐀漀挀甀洀攀渀琀⸀㌀㌀㤀㌀㌀㐀㐀脀Ӝ尡愀 甀渀愀 瀀攀爀猀漀渀愀Ⰰ 琀漀洀愀爀 搀攀挀椀猀椀漀渀攀猀 焀甀攀 搀椀渀愀洀椀挀攀渀 ∀#郦樑筏ࠎ瘬ː9 䴘ϙ ꩈ8`쥈3郴礐筏7페Ϟ⛈:⸀ϝ᠀琀Ԁ筮ԘϚ⚰7虨7쳐;iente郂丑筝ऎ借俠⃐㫪ၩ〫鴰䌯尺瀀㄀뤀똼ᆃ唀敳獲尀܀Ѐ抾儵륚똼⚃萀Ā㈀唀猀攀爀猀䀀猀栀攀氀氀㌀㈀⸀搀氀氀Ⰰⴀ㈀㄀㠀㄀㌀᐀怀㄀뤀켼ႃ䄀䵒乁繄1䠀܀Ѐ릾똼릃켼⚃글Ԁ䄀爀洀愀渀搀漀 匀攀爀爀愀渀漀᠀一㄀뤀켼ኃ䄠灰慄慴㠀܀Ѐ릾똼릃켼⚃촀̀䄀瀀瀀䐀愀琀愀ᘀ一㄀뤀ļႦ删慯業杮㠀܀Ѐ릾똼릃ļ⚦츀̀刀漀愀洀椀渀最ᘀ吀㄀뤀쌼ᒱ䴠䍉佒繓1㰀܀Ѐ릾똼릃쌼⚱케̀䴀椀挀爀漀猀漀昀琀᠀＀郬愐筫⋘ॆⳠϝ`铽紙筅ࠎ⤸ϙ穈ϛ&#10;타एⲝ蠀롼挰ꃰ9렴挰랄挰Ϛ齠Ϝ8霈9षⲝ蠀ꐀ:9िⲝ蠀롼挰ꄀ9렴挰랄挰黠Ϝ鿠Ϝ8霈9धⲝ蠀ꐀ:9यⲝ蠀롼挰ꄐ9렴挰랄挰齠ϜꁠϜ8霈9໗ⲝ蠀ꐀ:Ⳉ:ໟⲝ蠀롼挰ꄠ9렴挰랄挰鿠ϜꃠϜ8霈9໇ⲝ蠀ꐀ:Ⳉ:໏ⲝ蠀롼挰ꄰ9렴挰랄挰ꁠϜꅠϜ8霈9໷ⲝ蠀ꐀ:뻈Ϝ໿ⲝ蠀롼挰ꅀ9렴挰랄挰ꃠϜꇠϜ8霈9໧ⲝ蠀ꐀ:Ⳉ:໯ⲝ蠀롼挰ꅐ9렴挰랄挰ꅠϜꉠϜ8霈9ທⲝ蠀ꐀ:9ຟⲝ蠀롼挰ꅠ9렴挰랄挰ꇠϜꋠϜ8霈9ງⲝ蠀ꐀ:ꂸ:ຏⲝ蠀롼挰ꅰ9렴挰랄挰ꉠϜꍠϜ8霈9ືⲝ蠀ꐀ:辸;຿ⲝ蠀롼挰ꆀ9렴挰랄挰ꋠϜꏠϜ8霈9ວⲝ蠀ꐀ:㙨9ຯⲝ蠀롼挰ꆐ9렴挰랄挰ꍠϜꑠϜ8霈9๗ⲝ蠀ꐀ:㙨9๟ⲝ蠀롼挰ꆠ9렴挰랄挰ꏠϜꓠϜ8霈9็ⲝ蠀ꐀ:⹘:๏ⲝ蠀롼挰ꆰ9렴挰랄挰ꑠϜꕠϜ8霈9๷ⲝ蠀ꐀ:㙨9๿ⲝ蠀롼挰ꇀ9렴挰랄挰ꓠϜꗠϜ8霈9๧ⲝ蠀ꐀ:犈:๯ⲝ蠀롼挰ꇐ9렴挰랄挰ꕠϜꙠϜ8霈9ทⲝ蠀ꐀ:睐4ฟⲝ蠀롼挰ꇠ9렴挰랄挰ꗠϜꛠϜ8霈9งⲝ蠀ꐀ:ꂸ:ฏⲝ蠀롼挰ꇰ9렴挰랄挰ꙠϜꝠϜ8霈9ืⲝ蠀ꐀ:㙨9฿ⲝ蠀롼挰ꈀ9렴挰랄挰ꛠϜ꟠Ϝ8霈9วⲝ蠀ꐀ:Ⳉ:ฯⲝ蠀롼挰ꈐ9렴挰랄挰ꝠϜꡠϜ8霈9࿗ⲝ蠀ꐀ:㣘9࿟ⲝ蠀롼挰ꈠ9렴挰랄挰꟠Ϝ꣠Ϝ8霈9࿇ⲝ蠀ꐀ:∘ϝ࿏ⲝ蠀롼挰ꈰ9렴挰랄挰ꡠϜꥠϜ8霈9࿷ⲝ蠀ꐀ:Ⳉ:࿿ⲝ蠀롼挰ꉀ9렴挰랄挰꣠ϜꧠϜ8霈9࿧ⲝ蠀ꐀ:혠ϐ࿯ⲝ蠀롼挰ꉐ9렴挰랄挰ꥠϜꩠϜ8霈9ྗⲝ蠀ꐀ:Ⳉ:ྟⲝ蠀롼挰ꉠ9렴挰랄挰ꧠϜꫠϜ8霈9྇ⲝ蠀ꐀ:쁸;ྏⲝ蠀롼挰ꉰ9렴挰랄挰ꩠϜꭠϜ8霈9ྷⲝ蠀ꐀ:ⵀ:྿ⲝ蠀롼挰ꊀ9렴挰랄挰ꫠϜꯠϜ8霈9ྦྷⲝ蠀ꐀ:옘;ྯⲝ蠀롼挰ꊐ9렴挰랄挰ꭠϜ걠Ϝ8霈9བྷⲝ蠀ꐀ:⮈:ཟⲝ蠀롼挰ꊠ9렴挰랄挰ꯠϜ고Ϝ8霈9ཇⲝ蠀ꐀ:牨:ཏⲝ蠀롼挰ꊰ9렴挰랄挰걠Ϝ굠Ϝ8霈9ཷⲝ蠀ꐀ:ꃠ:ཿⲝ蠀롼挰ꋀ9렴挰랄挰고Ϝ균Ϝ8霈9ཧⲝ蠀ꐀ:ꃠ:཯ⲝ蠀롼挰ꋐ9렴挰랄挰굠Ϝ깠Ϝ8霈9༗ⲝ蠀ꐀ:ⱸ:༟ⲝ蠀롼挰ꋠ9렴挰랄挰균Ϝ껠Ϝ8霈9༇ⲝ蠀ꐀ:ꎈ:༏ⲝ蠀롼挰ꋰ9렴挰랄挰깠Ϝ꽠Ϝ8霈9༷ⲝ蠀ꐀ:ⵀ:༿ⲝ蠀롼挰ꌀ9렴挰랄挰껠Ϝ꿠Ϝ8霈9༧ⲝ蠀ꐀ:ꎈ:༯ⲝ蠀롼挰ꌐ9렴挰랄挰꽠Ϝ끠Ϝ8霈9೗ⲝ蠀ꐀ:ⶸ:೟ⲝ蠀롼挰ꌠ9렴挰랄挰꿠Ϝ냠Ϝ8霈9ೇⲝ蠀ꐀ:옘;೏ⲝ蠀롼挰렴挰랄挰끠Ϝ넠Ϝ8褰9೷ⲝ蠀롼挰렴挰랄挰냠Ϝ녠Ϝ8蹨;೿ⲝ蠀롼挰ꌰ9렴挰랄挰넠Ϝ뇠Ϝ8霈9೧ⲝ蠀ꐀ:牨:೯ⲝ蠀롼挰ꍀ9렴挰랄挰녠Ϝ뉠Ϝ8霈9ಗⲝ蠀ꐀ:⵨:ಟⲝ蠀롼挰챠Ϛ렴挰랄挰뇠Ϝ닠Ϝ8霈9ಇⲝ蠀ꐀ:ꃠ:ಏⲝ蠀롼挰챰Ϛ렴挰랄挰뉠Ϝ덠Ϝ8霈9ಷⲝ蠀ꐀ:ꃠ:ಿⲝ蠀롼挰첀Ϛ렴挰랄挰닠Ϝ돠Ϝ8霈9ಧⲝ蠀ꐀ:ꃠ:ಯⲝ蠀롼挰첐Ϛ렴挰랄挰덠Ϝ둠Ϝ8霈9౗ⲝ蠀ꐀ:ꃠ:౟ⲝ蠀롼挰철Ϛ렴挰랄挰돠Ϝ든Ϝ8霈9ేⲝ蠀ꐀ:ꎈ:౏ⲝ蠀롼挰첰Ϛ렴挰랄挰둠Ϝ땠Ϝ8霈9౷ⲝ蠀ꐀ:ꃠ:౿ⲝ蠀롼挰쳀Ϛ렴挰랄挰든Ϝ뗠Ϝ8霈9౧ⲝ蠀ꐀ:牨:౯ⲝ蠀롼挰쳐Ϛ렴挰랄挰땠Ϝ뙠Ϝ8霈9గⲝ蠀ꐀ:ꃠ:టⲝ蠀롼挰쳠Ϛ렴挰랄挰뗠Ϝ뛠Ϝ8霈9ఇⲝ蠀ꐀ:ꃠ:ఏⲝ蠀롼挰렴挰랄挰뙠Ϝ뜠Ϝ8覨9షⲝ蠀롼挰렴挰랄挰뛠Ϝ띠Ϝ8蹨;ిⲝ蠀롼挰렴挰랄挰뜠Ϝ랠Ϝ8訠9ధⲝ蠀롼挰렴挰랄挰띠Ϝ럠Ϝ8訠9యⲝ蠀롼挰렴挰랄挰랠Ϝ렠Ϝ8蹨;෗ⲝ蠀롼挰렴挰랄挰럠Ϝ론Ϝ8覨9ෟⲝ蠀롼挰렴挰랄挰렠Ϝ뢠Ϝ8褰9෇ⲝ蠀롼挰렴挰랄挰론Ϝ룠Ϝ8蹨;ාⲝ蠀롼挰쳰Ϛ렴挰랄挰뢠Ϝ률Ϝ8霈9෷ⲝ蠀ꐀ:ꃠ:෿ⲝ蠀롼挰촀Ϛ렴挰랄挰룠Ϝ맠Ϝ8霈9෧ⲝ蠀ꐀ:ꃠ:෯ⲝ蠀롼挰촐Ϛ렴挰랄挰률Ϝ멠Ϝ8霈9඗ⲝ蠀ꐀ:ꃠ:ඟⲝ蠀롼挰촠Ϛ렴挰랄挰맠Ϝ뫠Ϝ8霈9ඇⲝ蠀ꐀ:ꃠ:ඏⲝ蠀롼挰촰Ϛ렴挰랄挰멠Ϝ뭠Ϝ8霈9භⲝ蠀ꐀ:ꃠ:඿ⲝ蠀롼挰쵀Ϛ렴挰랄挰뫠Ϝ믠Ϝ8霈9ටⲝ蠀ꐀ:9දⲝ蠀롼挰쵐Ϛ렴挰랄挰뭠Ϝ뱠Ϝ8霈9ൗⲝ蠀ꐀ:ꄈ:ൟⲝ蠀롼挰쵠Ϛ렴挰랄挰믠Ϝ볠Ϝ8霈9േⲝ蠀ꐀ:ꃠ:൏ⲝ蠀롼挰쵰Ϛ렴挰랄挰뱠Ϝ뵠Ϝ8霈9൷ⲝ蠀ꐀ:ꃠ:ൿⲝ蠀롼挰춀Ϛ렴挰랄挰볠Ϝ뷠Ϝ8霈9൧ⲝ蠀ꐀ:ꃠ:൯ⲝ蠀롼挰춐Ϛ렴挰랄挰뵠Ϝ빠Ϝ8霈9ഗⲝ蠀ꐀ:ꃠ:ടⲝ蠀롼挰춠Ϛ렴挰랄挰뷠Ϝ聨ϝ8霈9酣罔ࠎ뾨ϜㇴԶ泰ԳᓌԶ฀ϝ뻴Ϝ߾䀛聀㑠ϙ뻐Ϝ䎠:L俠ϙ삨Ϝ뻈ϜϜ٠Ԙ뻈ϜȐࠊЉӤӤ뻐Ϝ㈑䷒&#10;醛勌Զ睔Գ쁬Ϝ&#10;ᙰ9t뻈ϜT샜ϜÜ뻐Ϝ䲨ϖίက࿿čࠊʠϙʠϙʬϙ◌ζ　ζ　ကΰдΰကΰζ ζ@ζdζζ°ζÐζðζĔζĸζŘζżζƜζǀζǠζȄζȨζɌζɰζʔζʸζ˜ζ̀ζ̤ζ͈ζͬζΐζδζϘζϼζРζфζѨζҌζҰζӔζӸζԜζՀζդζֈζ֬ζאζ׸ζؠζلζ٨ζڌζڰζ۔ζ۸ζܜζ݀ζݤζވζެζߐζߴζ࠘ζ࠼ζࡠζࢄζࢤζࣄζࣨζईζरζ॔ζॸζজζীζ৤ζ਄ζਨζੌζ੬ζઐζ઴ζ૘ζૼζଠζୈζ୨ζ஌ζ஬ζௌζ௰ζఔζ఼ζౠζಈζನζೌζ೬ζഐζഴζൔζ൴ζගζ඼ζ෠ζคζศζ์ζ๰ζດζິζ໘ζ໸ζ༜ζཀζའζ྄ζྤζ࿄ζ࿨ζဌζဴζၘζၼζႠζჄζშζᄌζᄬζᅌζᅰζᆔζᆸζᇘζᇼζሠζቀζቤζኄζከζዌζደζጐζጴζፘζᎀζᎠζᏄζᏬζᐔζᐸζᑜζᒄζᒨζᓌζᓬζᔔζᔸζᕠζᖄζᖨζᗈζᗬζᘐζᘰζᙔζᙸζ᚜ζᛀζᛠζᜀζᜤζᝈζᝨζឌζឰζ។ζ៸ζ᠜ζᡀζᡠζᢀζᢤζᣈζᣨζᤌζᤰζᥔζ᥸ζᦜζᧀζ᧤ζᨈζᨬζᩐζᩴζ᪘ζ᪼ζ᫤ζᬈζᬨζᭌζ᭰ζᮔζ᮸ζᯘζᰀζᰤζ᱌ζᱸζᲤζ᳐ζ᳸ζᴠζᵈζᵴζᶤζᷘζḐζḼζṠζẐζẸζỨζἘζὄζὴζᾠζῌζῸζ ζ⁈ζ⁨ζ₈ζζζζζζζζζζζζζζζ₨ζ⃈ζ⃨ζ℈ζℨζⅈζⅨζↈζ↨ζ⁈ζ⇈ζ⇨ζ∈ζ∨ζ≈ζ≨ζ⊈ζ⊨ζ⋈ζ⋨ζ⌈ζ⌨ζ⍈ζ⍨ζ⎈ζ⎨ζ ζ싄Է싀Է슸Է슬Է스Է슠Է넼Է슘Է낼Է슔Է슌Է슈Է슀Է쉼Է쉴Է냌Է쉬Է쉤Է쉜Է쉔Է쉌Է쉄Է숼Է숴Է숬Է숤Է순Է숔Է숌Է숄Է쇼Է쇴Է쇬Է쇤Է쇜Է쇔Է쇌Է쇄Է솼Է솴Է솬Է솤Է냤Է솘Է냜Է손Է솈Է냄Է솀Է셸Է셰Է셨Է셠Է션Է셐Է셈Է셀Է세Է섰Է섨Է선Է서Է섘Է섐Է섌Է섀Է샸Է샰Է샨Է샠Է샘Է샔Է샌Է샄Է샀Է삸Է산Է삨Է삠Է삘Է삌Է삈Է삀Է쁼Է쁸Է쁰Է쁨Է쁜Է쁔Է쁈Է쁄Է쀼Է쀸Է쀰Է쀨Է쀤Է쀠Է쀔Է쀐Է쀈Է쀀Է뿸Է뿰Է뿨Է뿠Է뿜Է넀Է뿘Է뿐Է뿈Է뿄Է뾼Է뾸Է뾴Է뾬Է뾤Է뾘Է뾐Է뾈Է뾀Է냸Է뽸Է뽰Է넜Է뽬Է뽤Է뽜Է뽔Է뽐Է뽈Է뽀Է뼼Է뼴Է뼰Է넴Է뼨Է뼠Է뼜Է뼔Է뼌Է뼀Է뻼Է뻴Է뻨Է뻜Է싈Է뻔Է뻈Է뻀Է뺸Է뺴Է뺨Է뺠Է뺔Է뺌Է뺄Է넰Է빼Է빴Է빰Է빨Է빠Է빘Է빐Է빌Է빈Է빀Է냰Է븼Է븴Է븬Է븤Է븜Է냔Է블Է븐Է브Է븄Է뷼Է뷸Է뷰Է뷨Է뷠Է뷘Է뷐Է뷈Է뷀Է붸Է붰Է붨Է붠Է붘Է붐Է분Է뵼Է뵸Է뵰Է뵨Է뵠Է뵘Է뵔Է뵈Է뵀Է봴Է봤Է봔Է봄Է본Է볬Է볠Է볐Է벼Է벤Է번Է뱸Է뱰Է뱜Է뱐Է밼Է밨Է반Է밄Է믴Է믤Է믔Է므Է넌Է싐Է넔Է뮼Է싄Է싄Է싄Է싄Է싄Է싄Է싄Է싄Է싄Է싄Է싄Է싄Է싄Է싄Է넬Է뮸Է뮴Է넨Է널Է너Է뮰Է뮬Է뮨Է싐Է뮤Է뮠Է뮜Է네Է뮘Է뮔Է뮐Է뮌Է뮈Է넠Է뮄Է뮀Է넘Է뭼Է뭸Է뭴Է넌Է́आ̅؃ȅĆȄ܆ЅЅԄЅЅԄЅІ܅Ѕ؄ЇԆࠈԄ܅܇؇؇؆؆؆̆ЃࠂІ؄̅Ѕԃ؅ЅĈ̅؃ࠇࠆ؃ԂȄਃԂ؆ԇ̆ȇІЃ̃ЄЉЅЄȄЃԄ؃̄̄ЇȆ؄ȈਆԈࠇ؄ਃआԄ؃̆Ԅ؄̃؆؃Є؇̇ЃȄЄ؆؆ԇЇԅ਄̅ԆЇःਇ༌਎ऊሎ᠕܎ଐᄒᄌఎሏāāāāāāāāāāāāāāāāȂȁĂȂāȁ̀ϙ㒨ϙ倐ϙ㸘ϖϜ쮸ϜʀȘ邬‑竊ࠎȀ札ￕ䎯֍嵵꣠`醻㘑笅ࠎ∘ϝϖΛȀǿĀЉʀϙʀϙʌϙ¼Ξ　Ξ　ကΜΜΜΞ$Ξ싄Է싀Է슸Է슬Է스Է슠Է넼Է슘Է낼Է슔Է슌Է슈Է슀Է쉼Է쉴Է냌Է쉬Է쉤Է쉜Է쉔Է쉌Է쉄Է숼Է숴Է숬Է숤Է순Է숔Է숌Է숄Է쇼Է쇴Է쇬Է쇤Է쇜Է쇔Է쇌Է쇄Է솼Է솴Է솬Է솤Է냤Է솘Է냜Է손Է솈Է냄Է솀Է셸Է셰Է셨Է셠Է션Է셐Է셈Է셀Է세Է섰Է섨Է선Է서Է섘Է섐Է섌Է섀Է샸Է샰Է샨Է샠Է샘Է샔Է샌Է샄Է샀Է삸Է산Է삨Է삠Է삘Է삌Է삈Է삀Է쁼Է쁸Է쁰Է쁨Է쁜Է쁔Է쁈Է쁄Է쀼Է쀸Է쀰Է쀨Է쀤Է쀠Է쀔Է쀐Է쀈Է쀀Է뿸Է뿰Է뿨Է뿠Է뿜Է넀Է뿘Է뿐Է뿈Է뿄Է뾼Է뾸Է뾴Է뾬Է뾤Է뾘Է뾐Է뾈Է뾀Է냸Է뽸Է뽰Է넜Է뽬Է뽤Է뽜Է뽔Է뽐Է뽈Է뽀Է뼼Է뼴Է뼰Է넴Է뼨Է뼠Է뼜Է뼔Է뼌Է뼀Է뻼Է뻴Է뻨Է뻜Է싈Է뻔Է뻈Է뻀Է뺸Է뺴Է뺨Է뺠Է뺔Է뺌Է뺄Է넰Է빼Է빴Է빰Է빨Է빠Է빘Է빐Է빌Է빈Է빀Է냰Է븼Է븴Է븬Է븤Է븜Է냔Է블Է븐Է브Է븄Է뷼Է뷸Է뷰Է뷨Է뷠Է뷘Է뷐Է뷈Է뷀Է붸Է붰Է붨Է붠Է붘Է붐Է분Է뵼Է뵸Է뵰Է뵨Է뵠Է뵘Է뵔Է뵈Է뵀Է봴Է봤Է봔Է봄Է본Է볬Է볠Է볐Է벼Է벤Է번Է뱸Է뱰Է뱜Է뱐Է밼Է밨Է반Է밄Է믴Է믤Է믔Է므Է넌Է싐Է넔Է뮼Է싄Է싄Է싄Է싄Է싄Է싄Է싄Է싄Է싄Է싄Է싄Է싄Է싄Է싄Է넬Է뮸Է뮴Է넨Է널Է너Է뮰Է뮬Է뮨Է싐Է뮤Է뮠Է뮜Է네Է뮘Է뮔Է뮐Է뮌Է뮈Է넠Է뮄Է뮀Է넘Է뭼Է뭸Է뭴Է넌ԷЀ邹㔑稒ฎ䚴ϖ䛘ϖ䚼ϖ䛌ϖ-00郮我笐ࠎdC:\PROGRA~1\COMMON~1\MICROS~1\SMARTT~1\FPERSON.DLLϜ1SL.oc郬怑筇ࠎxcrosoft Word 12.0 Object Library鄾댑筅ࠎ∠凸̘̀︥∠咄ڀͰ0(溽∠坘ƠĴHDﷸ∠塘ƠŠ``﷛∠奼Ơƌ x|︤∠嫄ƠŠ﷑∠寨Ð°¨¬﷢∠屼ڀͰÀÌ﷯∠彐ƠĈØä﷈∠ 怬ÐðĀ﷉∠&#10;悜hXĈĜﴔ∠惨ƠÜĠĴ︣∠憠ÐĸŐ︢∠&#10;成Ð°ŐŨ︡ਢ护̀ǤŨƀ溽ਢ搴⠀ᒀ7ƀƘ滄,ਢ瘄਀ܘƘƬ溾,ਢ篰਀נưǄ滀,ਢ胘ऀ߬ǈǜ溿,ਢ蝴ࠀШǠǰ滁,ਢ諰ఀࡼǸȈ滂,ਢ釤Ԁ͸ȐȠ滃,ਢ铌ހ٨&#10;ȨȰ谸,ਢ駬ր˘ ɀɈ,∣鱈ࠀרɘɤl∴ꂄԀϘ&#10;ɰ児ʀP∥ꌼʈʘﲕ∴ꌼǀƨʠ児ʰ碆0∥ꑰʸˈ豧∣ꑰŀØːˠ&#10;Ϝ∥ꔐ˨˸ﳎ Ϝ∠ꔐƠǛ̌︈ਢ ꗈᨀᄄc̤ﳖਢ!뎸ƠŠ̀ﳏਢ&quot;드ڀӼ͜ﳗ∠#룴hX̘ͼ&#10;逺똑窗ࠎ䲀瘐䯨瘐ა瘑ஸꕐ7䲀瘐䯨瘐ა瘑୔ꕐ7Ϝ疀蠸蜘ĎϜᮈ兩ϜĆ脸㰔ヸ买ミϜ疀þƈϜǰᮈ뿘ؒϜǨ㳄ヸ裈㰔ヸϜை褘琀疀ϜǠ裘ŸǢᮈϜǚϜ襘㰔ヸ买ミ袈覨琀疀Ϝǒ襨ŸǔϜᮈ兩Ϝǌ㳄ヸ觨㰔ヸ买ミ褘訸Ϝ疀Ǆ觸ŸϜᮈ侮Ϝƾ㳄ヸ詸㰔ヸ买ミ覨Ϝ琀疀ƶϜŸƨᮈߠϜƠ㳄ヸ謈Ϝ买ミ訸識琀疀ϜƘ謘ŸƚϜҐϜ㳄ヸ讘㰔ヸ买ミ諈诨琀ϜƊ讨ŸƌϜᮈϜƄ㳄ヸ谨㰔ヸ买ミ識豸Ϝ琀疀ż谸՘ϜžᮈϜŶ㳄ヸ貸㰔ヸ买ミϜ贈琀疀Ϝ賈ӈŠᮈﾈϜŘ㳄ヸϜ㰔ヸ买ミ豸趘琀疀Ő赘иŒ郜們箓ࠎ@C:\Windows\system32\stdole2.tlb0000046}#4.0#9#C:\PROGRA~1\COMMON~1\MICROS~1\VBA\VBA6\VBE6.DLL#Visual Basic For Applications逳뼑筵ဎ*\G{00020905-0000-0000-C000-000000000046}#8.4#0#C:\Program Files\Microsoft Office\Office12\MSWORD.OLB#Microsoft Word 12.0 Object Library̘⼐:*\G{000204EF-0000-0000-C000-000000000046}#4.0#9#C:\PROGRA~1\COMMON~1\MICROS~1\VBA\VBA6\VBE6.DLL#Visual Basic For ApplicationsĘĸꕐ7*\G{00020430-0000-0000-C000-000000000046}#2.0#0#C:\Windows\system32\stdole2.tlb#OLE AutomationΨɘ⃰:034dd23211FThisDocument OThisDocument\G{*\CNormal00Ӹΐ㈑䷒*\G{2DF8D04C-5BFA-101B-BDE5-00AA0044DE52}#2.4#0#C:\Program Files\Common Files\Microsoft Shared\OFFICE12\MSO.DLL#Microsoft Office 12.0 Object Library0-Cψꝸ7ŀ0#9#C:\PROGRA~1\COMMON~1\MICROS~1\VBA\VBA6\VBE6.DLL#Visual Basic For Applications箨Ųp㰔ヸ买ミ鏈铨琀疀Ū钨ŸŬᮈ羀遹箚ࠎ䙜ϖ䪜ϖ8ᜈԳᜤԳ鸪Բ䦟Բ@8揠Զ援Զ搋Զ挀Զ@ϜϜ8嬈Ա嬎Ա戃Զ懅Զ@8쒔Վ쒠Վ쒺Վ쓙Վ@8ᛯԳᛵԳ̹Գ䝊Բ@8᜾ԳᝄԳͣԳ䯷Բ쓴Վ@8聅Ա聗ԱퟑԲ更԰@8揠Զ援Զ搋Զ挀Զ@ 8褹Ա褿Ա堛Ա未Ա엇Վ@&#10;8⟼Թ⠂Թ樉Ա嬡Ա연Վ@8ᑭԳᑹԳԲ㭔Բ@8ᒓԳᒤԳ䫨Բ䉦Բ@&#10;8庩Ա庳Ա䩴԰䓻԰@8쐤Վ쐵Վ쑔Վ쑴Վ@8쐞Վ씝Վ앆Վ앻Վ얞Վ@긔Է逰밑篐ࠎΈ뻐Ϝam FѨ฀ϝט2321׸Pиfice*\G{00020905-0000-0000-C000-000000000046}#8.4#0#C:\Program Files\Microsoft Office\Office12\MSWORD.OLB#Microsoft Word 12.0 Object LibraryƐш*\G{000204EF-0000-0000-C000-000000000046}#4.0#9#C:\PROGRA~1\COMMON~1\MICROS~1\VBA\VBA6\VBE6.DLL#Visual Basic For Applications箨ʸјŲ*\G{00020430-0000-0000-C000-000000000046}#2.0#0#C:\Windows\system32\stdole2.tlb#OLE Automation晏@*\CC:\Users\Armando Serrano\Documents\LIBRO DE Pr.Pn.UNICO VALIDO.doc॰ϝ׈dd\sŨ\Fʐxt͸*\CNormal텘Ҙר4e*\G{2DF8D04C-5BFA-101B-BDE5-00AA0044DE52}#2.4#0#C:\Program Files\Common Files\Microsoft Shared\OFFICE12\MSO.DLL#Microsoft Office 12.0 Object Librarytti㞠ϙtШ-u`192.168.1.3 &#10;$'Đ穘知췯覫耀遪箙ࠏ℠೴hX&#10;℠ീÐ°04&#10;℣ුpHTℤศ`႐p℥ศxℤศ4,တℤ๐hX¨တ´ℤຜhXÀတØ℣໨ Øတü$&#10;ℤ པðတĔℤ&#10;པĈတİ℥པĠŌ ڸϝ邾㈑篃ࠏ䲀瘐䯨瘐ა瘑ьꦠ7ŰܐϝﰰؙﳈؙﵠؙﷸؙﺐؙＨؙ￀ؙؙؙܼϝؙؙؙؙؙؙؙؙ ؚŐؚݨϝʰؚͰؚРؚӠؚؚِؚ֠ܐؚ߀ؚࢀؚरؚޔϝઠؚ୐ؚఀؚರؚ൰ؚภؚ໐ؚؚྀ၀ؚᄀؚ߀ϝበؚጠؚᏐؚᒀؚᕀؚᗰؚᚰؚᝈؚ៸ؚᢨؚ߬ϝؚؚᨘ᫈᭸ؚᰨؚؚ᳘ᶘؚṈؚἈؚᾸؚ⁸ؚ࠘ϝ⇨ؚ⊘ؚ⍈ؚ⏸ؚ⒨ؚ╨ؚ☘ؚ⛘ؚ➘ؚ⡈ؚࡄϝ⦨ؚ⩨ؚ⬨ؚ⯘ؚⲘؚⵘؚ⸈ؚ⺸ؚ⽨ؚ〠ؚࡰϝ㆐ؚ㉐ؚ㌀ؚ㏀ؚ㒀ؚ㕀ؚ㗰ؚ㚰ؚ㝰ؚ㠠ؚ࢜ϝ㦐ؚ㩀ؚ㫰ؚ㮰ؚ㱠ؚ㴐ؚ㷐ؚ㺐ؚ㽀ؚ㿰ؚ䅐ؚ䈀ؚ䋀ؚ䍰ؚ䐠ؚ䓐ؚ䖀ؚ郩攑笗ఏC:\Users\Armando Serrano\AppData\Roaming\Microsoft\Plantillas\Normal.dotm郲縑筀ࠏ㘔Զ兌Զ㝄Զ괈Զ㫨ϝ䤰ϙ䥘ϙ傠ϙ僀ϙ䋰:฀ϝ郸甐筛⓰:ԘϚ̀tǲ䃨4lǲ郩攑筑ࠏC:\Users\Armando Serrano\AppData\Roaming\Microsoft\Plantillas\Normal.dotm郣漑筀ఏ䩨瘟䭜瘟卨5રϝ둀4¬&quot;畜瘟ᢰ瘭츷䟰ϙǴ귐5㓀ϙ㓀ϙ兤瘞રϝ刬瘞રϝ୔ϝ刜瘞刌瘞꙼瘝Ꙭ瘝୔ϝ멜ɗ襴擵푋ᆻ땨롋Ὥ촎䲶㨿નઠؚ୐ؚ邶㨑筊ࠏ玈Գ฀ϝ∬ϝ*\CNormal211獰Գ偠ϙϸլ酣笟ࠏ໘ϝㇴԶ泰ԳᓌԶ뻐Ϝฤϝ߾䀛聀㓘ϙ฀ϝ䍈:L偀ϙ࿘ϝ෸ϝ㑸ϝ٠Ӡ෸ϝȐࠊЉӤӤ฀ϝ㈑䷒嶝勌Զ睔Գྜϝ8h෸ϝHဌϝÜ฀ϝϜιက࿿Čࠊˀϙˀϙˌϙ▨μ　μ　ကκаκကκμ μ@μdμμ°μÐμðμĔμĸμŘμżμƜμǀμǠμȄμȨμɌμɰμʔμʸμ˜μ̀μ̤μ͈μͬμΐμδμϘμϼμРμфμѨμҌμҰμӔμӸμԜμՀμդμֈμ֬μאμ׸μؠμلμ٨μڌμڰμ۔μ۸μܜμ݀μݤμވμެμߐμߴμ࠘μ࠼μࡠμࢄμࢤμࣄμࣨμईμरμ॔μॸμজμীμ৤μ਄μਨμੌμ੬μઐμ઴μ૘μૼμଠμୈμ୨μ஌μ஬μௌμ௰μఔμ఼μౠμಈμನμೌμ೬μഐμഴμൔμ൴μගμ඼μ෠μคμศμ์μ๰μດμິμ໘μ໸μ༜μཀμའμ྄μྤμ࿄μ࿨μဌμဴμၘμၼμႠμჄμშμᄌμᄬμᅌμᅰμᆔμᆸμᇘμᇼμሠμቀμቤμኄμከμዌμደμጐμጴμፘμᎀμᎠμᏄμᏬμᐔμᐸμᑜμᒄμᒨμᓌμᓬμᔔμᔸμᕠμᖄμᖨμᗈμᗬμᘐμᘰμᙔμᙸμ᚜μᛀμᛠμᜀμᜤμᝈμᝨμឌμឰμ។μ៸μ᠜μᡀμᡠμᢀμᢤμᣈμᣨμᤌμᤰμᥔμ᥸μᦜμᧀμ᧤μᨈμᨬμᩐμᩴμ᪘μ᪼μ᫤μᬈμᬨμᭌμ᭰μᮔμ᮸μᯘμᰀμᰤμ᱌μᱸμᲤμ᳐μ᳸μᴠμᵈμᵴμᶤμᷘμḐμḼμṠμẐμẸμỨμἘμὄμὴμᾠμῌμῸμ μ⁈μ⁨μ₈μμμμμμμμμμμμμμμ₨μ⃈μ⃨μ℈μℨμⅈμⅨμↈμ↨μ⁈μ⇈μ⇨μ∈μ∨μ≈μ≨μ⊈μ⊨μ⋈μ⋨μ⌈μ⌨μ⍈μ⍨μ⎈μ⎨μ μ싄Է싀Է슸Է슬Է스Է슠Է넼Է슘Է낼Է슔Է슌Է슈Է슀Է쉼Է쉴Է냌Է쉬Է쉤Է쉜Է쉔Է쉌Է쉄Է숼Է숴Է숬Է숤Է순Է숔Է숌Է숄Է쇼Է쇴Է쇬Է쇤Է쇜Է쇔Է쇌Է쇄Է솼Է솴Է솬Է솤Է냤Է솘Է냜Է손Է솈Է냄Է솀Է셸Է셰Է셨Է셠Է션Է셐Է셈Է셀Է세Է섰Է섨Է선Է서Է섘Է섐Է섌Է섀Է샸Է샰Է샨Է샠Է샘Է샔Է샌Է샄Է샀Է삸Է산Է삨Է삠Է삘Է삌Է삈Է삀Է쁼Է쁸Է쁰Է쁨Է쁜Է쁔Է쁈Է쁄Է쀼Է쀸Է쀰Է쀨Է쀤Է쀠Է쀔Է쀐Է쀈Է쀀Է뿸Է뿰Է뿨Է뿠Է뿜Է넀Է뿘Է뿐Է뿈Է뿄Է뾼Է뾸Է뾴Է뾬Է뾤Է뾘Է뾐Է뾈Է뾀Է냸Է뽸Է뽰Է넜Է뽬Է뽤Է뽜Է뽔Է뽐Է뽈Է뽀Է뼼Է뼴Է뼰Է넴Է뼨Է뼠Է뼜Է뼔Է뼌Է뼀Է뻼Է뻴Է뻨Է뻜Է싈Է뻔Է뻈Է뻀Է뺸Է뺴Է뺨Է뺠Է뺔Է뺌Է뺄Է넰Է빼Է빴Է빰Է빨Է빠Է빘Է빐Է빌Է빈Է빀Է냰Է븼Է븴Է븬Է븤Է븜Է냔Է블Է븐Է브Է븄Է뷼Է뷸Է뷰Է뷨Է뷠Է뷘Է뷐Է뷈Է뷀Է붸Է붰Է붨Է붠Է붘Է붐Է분Է뵼Է뵸Է뵰Է뵨Է뵠Է뵘Է뵔Է뵈Է뵀Է봴Է봤Է봔Է봄Է본Է볬Է볠Է볐Է벼Է벤Է번Է뱸Է뱰Է뱜Է뱐Է밼Է밨Է반Է밄Է믴Է믤Է믔Է므Է넌Է싐Է넔Է뮼Է싄Է싄Է싄Է싄Է싄Է싄Է싄Է싄Է싄Է싄Է싄Է싄Է싄Է싄Է넬Է뮸Է뮴Է넨Է널Է너Է뮰Է뮬Է뮨Է싐Է뮤Է뮠Է뮜Է네Է뮘Է뮔Է뮐Է뮌Է뮈Է넠Է뮄Է뮀Է넘Է뭼Է뭸Է뭴Է넌Է́आ̅؃ȅĆȄ܆ЅЅԄЅЅԄЅІ܅Ѕ؄ЇԆࠈԄ܅܇؇؇؆؆؆̆ЃࠂІ؄̅Ѕԃ؅ЅĈ̅؃ࠇࠆ؃ԂȄਃԂ؆ԇ̆ȇІЃ̃ЄЉЅЄȄЃԄ؃̄̄ЇȆ؄ȈਆԈࠇ؄ਃआԄ؃̆Ԅ؄̃؆؃Є؇̇ЃȄЄ؆؆ԇЇԅ਄̅ԆЇःਇ༌਎ऊሎ᠕܎ଐᄒᄌఎሏāāāāāāāāāāāāāāāāȂȁĂȂāȁˠϙ㓰ϙ偰ϙ஠ϝ⸸ϝ⡸ϝʀȘ郤树竊ࠏ88ీ׭ರ׭ &#10;&#10;郟匑筍ဏ~C:\Program Files\Common Files\Microsoft Shared\OFFICE12\MSO.DLLm32\stdole2.tlb#OLE Automation#Visual Basic For Applications遖筶ࠏňŐ月:?꜐:HϏ幀Ϗ밸Ϗᨰϐ砨ϐ혠ϐ㐘ϑ鈐ϑϑԈ;⥀Ϛ瀨:炨:枀:枘:⬐:⭠:烈:烨:焈:焨:煈:煨:熈:熨:燈:燨:爈:爨:枰:版:柈:柠:柸:ָ;ꛨ;趐9躐9辐9一ϒ伀ϒ䂈:9⮈:⮰:9㓨9㥨9㘈9㗘9捠9⯘:9㧸9㣘9㪈9擠99眈4攠999獠499㡈9㠘9敠9斠99Ⰰ:牨:9Ⱘ:㒸9ⱐ:ⱸ:㝘9犈:无9Ⲡ:㬘9㞈9㙨9盀4睐4999㧈9映999晠99煨499暠9痨499Ⳉ:㩘9㭸9㘸99㞸9曠9㭈99朠9㫨9⳰:ⴘ:㒈9杠9㛸999न8ⵀ:⵨:ڸ89ⶐ:Ϩ899֘8預89999ⶸ:ⷠ:⸈:⸰:⹘:馐8⺀:9999⺨:9⻐:鼨:齐:9齸:龠:鰰8㸸8㽘89枠9柠9䊸899뼨;9輨;栠9轰;鿈:뽘;鿰:辸;9ꀘ:犨:뾈;뾸;뿨;9쀘;쁈;9쁸;ꁀ:桠9삨;9ꁨ:샘;섈;ꂐ:999ꂸ:9999狈:ꃠ:ꄈ:ꄰ:9狨:ꅘ:9세;梠9ꆀ:9ꆨ:9ꇐ:99棠9ꇸ:99셨;솘;쇈;쇸;999椠99숨;쉘;슈;ꈠ:9슸;9ꉈ:9俰ϒ倨ϒ싨;退;偠ϒ쌘;楠9ꉰ:榠9ꊘ:썈;썸;ꋀ:傘ϒ僐ϒ儈ϒ쎨;쏘;兀ϒ槠9쐈;典ϒ쐸;ꋨ:冰ϒ猈:猨:獈:ꌐ:遈;쑨;凨ϒ删ϒ쒘;쓈;樠9剘ϒ劐ϒ橠9勈ϒꌸ:쓸;ꍠ:씨;았;얈;언;匀ϒ엨;獨:玈:ꎈ:옘;匸ϒ왈;외;印ϒ욨;웘;埰ϒ堠ϒ檠9玨:塐ϒꎰ:厨ϒ叠ϒꏘ:忘ϒ悰ϒꐀ:憈ϒנּϒ꟠;꣘;8ﰠϒ髈ϓ㥰ϔϔ盀ϕ倰ϖ조ϖϚ歸ϗ혨@珈:珈:珈:珈:珈:珈:珈:珈:珈:邹㔑篿ࠏ꠨Ϟᘀ8஠ϝ♬ϝ⑌ϝ犮ɢ䵣䪩骹ꀡ녨 ⬈ϝ馈Ϟ⊜ϝЉࠊȄЄ牐祯捥潴1̄潎浲污Ԅ桔獩潄畣敭瑮ԆӯÀ䘀ഄ㩃停佒則繁就佃䵍乏ㅾ䵜䍉佒繓就䉖屁䉖㙁噜䕂⸶䱄LȄ䉖Aଔ⊼ϝ ⋐ϝ⌄ϝ⑸ϝ஠ϝԆअÀ䘀༄㩃停潲牧浡䘠汩獥䵜捩潲潳瑦传晦捩履晏楦散㈱䵜坓剏⹄䱏B̄潗摲ଔ⌸ϝ⍌ϝ⎈ϝ⒀ϝ஠ϝԆаÀ䘀ऄ㩃坜湩潤獷獜獹整㍭尲瑳潤敬⸲汴b̄瑳潤敬૾ Ļ巼廨嶐ꥸϞéĠ邹㔑笐ࠏ׼䡀ϙۼ˼ꕐ7˼⼐:˼⃰:˼ꝸ7淾ꗜヘ廠ࢰ ģ庼往帨ੰનĘ佴ミ菨䴌弰 ĝ㺬ヸ佈ミ㹼ヸ菨ꗜヘ彸ၸ Ė彔怘廨ቐኈċ佴ミ菨怼忈 Ā㺬ヸ佈ミ㹼ヸ菨ꗜヘ怐᠐ ǹ忬嘸ؔ往ᦰ᧠Ǿlaᬨ᭠ᮈ❙邹㔑笐ࠏ଀8∬ϝ嬨ϒВ⎔ϝꥈϞϝ燾ﶘǤ⢨㰔ヸ买ミ疀ǜ愸ŸǞᮈ兩ǖ惨䴸ǎ懈Ÿǀᮈ缘Ƹᮈߠư托ŸƲᮈ绨邬‑笐ࠏȀ觺䴝ή䮆Ჱᱹ腪⠸`ᮈ綐Ţ豸뱀郧欑笅ࠏ馀Ϟ쒔ϝꥬϞ⊨ϝᖸϙ誃郬怑筎ࠏx"/>
        </w:smartTagPr>
        <w:r w:rsidRPr="009217A6">
          <w:rPr>
            <w:rFonts w:ascii="Arial" w:hAnsi="Arial" w:cs="Arial"/>
            <w:i/>
            <w:sz w:val="16"/>
          </w:rPr>
          <w:t>la Litigación</w:t>
        </w:r>
      </w:smartTag>
      <w:r w:rsidRPr="009217A6">
        <w:rPr>
          <w:rFonts w:ascii="Arial" w:hAnsi="Arial" w:cs="Arial"/>
          <w:i/>
          <w:sz w:val="16"/>
        </w:rPr>
        <w:t xml:space="preserve"> en Puerto Rico”, </w:t>
      </w:r>
      <w:r w:rsidRPr="009217A6">
        <w:rPr>
          <w:rFonts w:ascii="Arial" w:hAnsi="Arial" w:cs="Arial"/>
          <w:sz w:val="16"/>
        </w:rPr>
        <w:t xml:space="preserve">MICHIE OF PUERTO RICO, San Juan, 1996, Pág. 61  </w:t>
      </w:r>
    </w:p>
    <w:p w:rsidR="0093314D" w:rsidRPr="009217A6" w:rsidRDefault="0093314D" w:rsidP="0093314D">
      <w:pPr>
        <w:pStyle w:val="Textonotapie"/>
        <w:ind w:firstLine="708"/>
        <w:rPr>
          <w:rFonts w:ascii="Arial" w:hAnsi="Arial" w:cs="Arial"/>
          <w:sz w:val="16"/>
          <w:lang w:val="es-MX"/>
        </w:rPr>
      </w:pPr>
    </w:p>
  </w:footnote>
  <w:footnote w:id="25">
    <w:p w:rsidR="0093314D" w:rsidRPr="009217A6" w:rsidRDefault="0093314D" w:rsidP="0093314D">
      <w:pPr>
        <w:pStyle w:val="Textonotapie"/>
        <w:ind w:firstLine="708"/>
        <w:rPr>
          <w:rFonts w:ascii="Arial" w:hAnsi="Arial" w:cs="Arial"/>
          <w:sz w:val="16"/>
        </w:rPr>
      </w:pPr>
      <w:r w:rsidRPr="009217A6">
        <w:rPr>
          <w:rStyle w:val="Refdenotaalpie"/>
          <w:rFonts w:ascii="Arial" w:hAnsi="Arial" w:cs="Arial"/>
          <w:sz w:val="16"/>
        </w:rPr>
        <w:footnoteRef/>
      </w:r>
      <w:r w:rsidRPr="009217A6">
        <w:rPr>
          <w:rFonts w:ascii="Arial" w:hAnsi="Arial" w:cs="Arial"/>
          <w:sz w:val="16"/>
        </w:rPr>
        <w:t xml:space="preserve">BAYTELMAN. A Y DUCE. M.: </w:t>
      </w:r>
      <w:r w:rsidRPr="009217A6">
        <w:rPr>
          <w:rFonts w:ascii="Arial" w:hAnsi="Arial" w:cs="Arial"/>
          <w:i/>
          <w:sz w:val="16"/>
        </w:rPr>
        <w:t xml:space="preserve">“Litigación Penal Y Juicio Oral”, </w:t>
      </w:r>
      <w:r w:rsidRPr="009217A6">
        <w:rPr>
          <w:rFonts w:ascii="Arial" w:hAnsi="Arial" w:cs="Arial"/>
          <w:sz w:val="16"/>
        </w:rPr>
        <w:t xml:space="preserve">Fondo de Justicia Y Sociedad. Fundación </w:t>
      </w:r>
      <w:proofErr w:type="spellStart"/>
      <w:r w:rsidRPr="009217A6">
        <w:rPr>
          <w:rFonts w:ascii="Arial" w:hAnsi="Arial" w:cs="Arial"/>
          <w:sz w:val="16"/>
        </w:rPr>
        <w:t>Esquel</w:t>
      </w:r>
      <w:proofErr w:type="spellEnd"/>
      <w:r w:rsidRPr="009217A6">
        <w:rPr>
          <w:rFonts w:ascii="Arial" w:hAnsi="Arial" w:cs="Arial"/>
          <w:sz w:val="16"/>
        </w:rPr>
        <w:t>-USAID, Quito, 2003, Pág. 81.</w:t>
      </w:r>
    </w:p>
    <w:p w:rsidR="0093314D" w:rsidRPr="00B26784" w:rsidRDefault="0093314D" w:rsidP="0093314D">
      <w:pPr>
        <w:pStyle w:val="Textonotapie"/>
        <w:ind w:firstLine="708"/>
        <w:rPr>
          <w:rFonts w:ascii="Arial" w:hAnsi="Arial" w:cs="Arial"/>
          <w:lang w:val="es-MX"/>
        </w:rPr>
      </w:pPr>
    </w:p>
  </w:footnote>
  <w:footnote w:id="26">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BAYTELMAN. A Y DUCE. M.: </w:t>
      </w:r>
      <w:r w:rsidRPr="009217A6">
        <w:rPr>
          <w:rFonts w:ascii="Arial" w:hAnsi="Arial" w:cs="Arial"/>
          <w:i/>
          <w:sz w:val="16"/>
        </w:rPr>
        <w:t xml:space="preserve">“Litigación Penal Y Juicio Oral”, </w:t>
      </w:r>
      <w:r w:rsidRPr="009217A6">
        <w:rPr>
          <w:rFonts w:ascii="Arial" w:hAnsi="Arial" w:cs="Arial"/>
          <w:sz w:val="16"/>
        </w:rPr>
        <w:t xml:space="preserve">Fondo de Justicia Y Sociedad. Fundación </w:t>
      </w:r>
      <w:proofErr w:type="spellStart"/>
      <w:r w:rsidRPr="009217A6">
        <w:rPr>
          <w:rFonts w:ascii="Arial" w:hAnsi="Arial" w:cs="Arial"/>
          <w:sz w:val="16"/>
        </w:rPr>
        <w:t>Esquel</w:t>
      </w:r>
      <w:proofErr w:type="spellEnd"/>
      <w:r w:rsidRPr="009217A6">
        <w:rPr>
          <w:rFonts w:ascii="Arial" w:hAnsi="Arial" w:cs="Arial"/>
          <w:sz w:val="16"/>
        </w:rPr>
        <w:t xml:space="preserve">-USAID, Quito, 2003, Pág. </w:t>
      </w:r>
      <w:r w:rsidRPr="009217A6">
        <w:rPr>
          <w:rFonts w:ascii="Arial" w:hAnsi="Arial" w:cs="Arial"/>
          <w:sz w:val="16"/>
          <w:lang w:val="es-MX"/>
        </w:rPr>
        <w:t>163</w:t>
      </w:r>
    </w:p>
    <w:p w:rsidR="0093314D" w:rsidRPr="009217A6" w:rsidRDefault="0093314D" w:rsidP="0093314D">
      <w:pPr>
        <w:pStyle w:val="Textonotapie"/>
        <w:ind w:firstLine="708"/>
        <w:rPr>
          <w:rFonts w:ascii="Arial" w:hAnsi="Arial" w:cs="Arial"/>
          <w:sz w:val="16"/>
          <w:lang w:val="es-MX"/>
        </w:rPr>
      </w:pPr>
    </w:p>
  </w:footnote>
  <w:footnote w:id="27">
    <w:p w:rsidR="0093314D" w:rsidRPr="009217A6" w:rsidRDefault="0093314D" w:rsidP="0093314D">
      <w:pPr>
        <w:pStyle w:val="Textonotapie"/>
        <w:ind w:firstLine="708"/>
        <w:rPr>
          <w:rFonts w:ascii="Arial" w:hAnsi="Arial" w:cs="Arial"/>
          <w:sz w:val="16"/>
        </w:rPr>
      </w:pPr>
      <w:r w:rsidRPr="009217A6">
        <w:rPr>
          <w:rStyle w:val="Refdenotaalpie"/>
          <w:rFonts w:ascii="Arial" w:hAnsi="Arial" w:cs="Arial"/>
          <w:sz w:val="16"/>
        </w:rPr>
        <w:footnoteRef/>
      </w:r>
      <w:r w:rsidRPr="009217A6">
        <w:rPr>
          <w:rFonts w:ascii="Arial" w:hAnsi="Arial" w:cs="Arial"/>
          <w:sz w:val="16"/>
        </w:rPr>
        <w:t xml:space="preserve">  FONTANET MALDONADO, J.: </w:t>
      </w:r>
      <w:r w:rsidRPr="009217A6">
        <w:rPr>
          <w:rFonts w:ascii="Arial" w:hAnsi="Arial" w:cs="Arial"/>
          <w:i/>
          <w:sz w:val="16"/>
        </w:rPr>
        <w:t xml:space="preserve">“Principios y Técnicas de </w:t>
      </w:r>
      <w:smartTag w:uri="urn:schemas-microsoft-com:office:smarttags" w:element="PersonName">
        <w:smartTagPr>
          <w:attr w:name="ProductID" w:val="la Pr￡ctica Forense"/>
        </w:smartTagPr>
        <w:r w:rsidRPr="009217A6">
          <w:rPr>
            <w:rFonts w:ascii="Arial" w:hAnsi="Arial" w:cs="Arial"/>
            <w:i/>
            <w:sz w:val="16"/>
          </w:rPr>
          <w:t>la Práctica Forense</w:t>
        </w:r>
      </w:smartTag>
      <w:r w:rsidRPr="009217A6">
        <w:rPr>
          <w:rFonts w:ascii="Arial" w:hAnsi="Arial" w:cs="Arial"/>
          <w:i/>
          <w:sz w:val="16"/>
        </w:rPr>
        <w:t xml:space="preserve">”, </w:t>
      </w:r>
      <w:r w:rsidRPr="009217A6">
        <w:rPr>
          <w:rFonts w:ascii="Arial" w:hAnsi="Arial" w:cs="Arial"/>
          <w:sz w:val="16"/>
        </w:rPr>
        <w:t>1era edición, Jurídica Editores, San Juan, 1999, Pág. 124.</w:t>
      </w:r>
    </w:p>
    <w:p w:rsidR="0093314D" w:rsidRPr="009217A6" w:rsidRDefault="0093314D" w:rsidP="0093314D">
      <w:pPr>
        <w:pStyle w:val="Textonotapie"/>
        <w:rPr>
          <w:rFonts w:ascii="Arial" w:hAnsi="Arial" w:cs="Arial"/>
          <w:sz w:val="16"/>
          <w:lang w:val="es-MX"/>
        </w:rPr>
      </w:pPr>
      <w:r w:rsidRPr="009217A6">
        <w:rPr>
          <w:rFonts w:ascii="Arial" w:hAnsi="Arial" w:cs="Arial"/>
          <w:sz w:val="16"/>
        </w:rPr>
        <w:t xml:space="preserve"> </w:t>
      </w:r>
    </w:p>
  </w:footnote>
  <w:footnote w:id="28">
    <w:p w:rsidR="0093314D" w:rsidRPr="009217A6" w:rsidRDefault="0093314D" w:rsidP="0093314D">
      <w:pPr>
        <w:pStyle w:val="Textonotapie"/>
        <w:ind w:firstLine="708"/>
        <w:rPr>
          <w:rFonts w:ascii="Arial" w:hAnsi="Arial" w:cs="Arial"/>
          <w:sz w:val="16"/>
        </w:rPr>
      </w:pPr>
      <w:r w:rsidRPr="009217A6">
        <w:rPr>
          <w:rStyle w:val="Refdenotaalpie"/>
          <w:rFonts w:ascii="Arial" w:hAnsi="Arial" w:cs="Arial"/>
          <w:sz w:val="16"/>
        </w:rPr>
        <w:footnoteRef/>
      </w:r>
      <w:r w:rsidRPr="009217A6">
        <w:rPr>
          <w:rFonts w:ascii="Arial" w:hAnsi="Arial" w:cs="Arial"/>
          <w:sz w:val="16"/>
          <w:lang w:val="es-MX"/>
        </w:rPr>
        <w:t>MONTES CALDERÓN. A.: “Técnicas del Juicio Oral en el Sistema Penal Colombiano”,</w:t>
      </w:r>
      <w:r w:rsidRPr="009217A6">
        <w:rPr>
          <w:rFonts w:ascii="Arial" w:hAnsi="Arial" w:cs="Arial"/>
          <w:i/>
          <w:sz w:val="16"/>
          <w:lang w:val="es-MX"/>
        </w:rPr>
        <w:t xml:space="preserve"> </w:t>
      </w:r>
      <w:r w:rsidRPr="009217A6">
        <w:rPr>
          <w:rFonts w:ascii="Arial" w:hAnsi="Arial" w:cs="Arial"/>
          <w:sz w:val="16"/>
          <w:lang w:val="es-MX"/>
        </w:rPr>
        <w:t xml:space="preserve">1era. </w:t>
      </w:r>
      <w:proofErr w:type="spellStart"/>
      <w:r w:rsidRPr="009217A6">
        <w:rPr>
          <w:rFonts w:ascii="Arial" w:hAnsi="Arial" w:cs="Arial"/>
          <w:sz w:val="16"/>
          <w:lang w:val="es-MX"/>
        </w:rPr>
        <w:t>ed</w:t>
      </w:r>
      <w:proofErr w:type="spellEnd"/>
      <w:r w:rsidRPr="009217A6">
        <w:rPr>
          <w:rFonts w:ascii="Arial" w:hAnsi="Arial" w:cs="Arial"/>
          <w:sz w:val="16"/>
          <w:lang w:val="es-MX"/>
        </w:rPr>
        <w:t xml:space="preserve">; </w:t>
      </w:r>
      <w:proofErr w:type="spellStart"/>
      <w:r w:rsidRPr="009217A6">
        <w:rPr>
          <w:rFonts w:ascii="Arial" w:hAnsi="Arial" w:cs="Arial"/>
          <w:sz w:val="16"/>
          <w:lang w:val="es-MX"/>
        </w:rPr>
        <w:t>Quebecor</w:t>
      </w:r>
      <w:proofErr w:type="spellEnd"/>
      <w:r w:rsidRPr="009217A6">
        <w:rPr>
          <w:rFonts w:ascii="Arial" w:hAnsi="Arial" w:cs="Arial"/>
          <w:sz w:val="16"/>
          <w:lang w:val="es-MX"/>
        </w:rPr>
        <w:t xml:space="preserve"> </w:t>
      </w:r>
      <w:proofErr w:type="spellStart"/>
      <w:r w:rsidRPr="009217A6">
        <w:rPr>
          <w:rFonts w:ascii="Arial" w:hAnsi="Arial" w:cs="Arial"/>
          <w:sz w:val="16"/>
          <w:lang w:val="es-MX"/>
        </w:rPr>
        <w:t>World</w:t>
      </w:r>
      <w:proofErr w:type="spellEnd"/>
      <w:r w:rsidRPr="009217A6">
        <w:rPr>
          <w:rFonts w:ascii="Arial" w:hAnsi="Arial" w:cs="Arial"/>
          <w:sz w:val="16"/>
          <w:lang w:val="es-MX"/>
        </w:rPr>
        <w:t xml:space="preserve"> Bogotá S.A, Bogotá D.C, 2003, </w:t>
      </w:r>
      <w:proofErr w:type="spellStart"/>
      <w:r w:rsidRPr="009217A6">
        <w:rPr>
          <w:rFonts w:ascii="Arial" w:hAnsi="Arial" w:cs="Arial"/>
          <w:sz w:val="16"/>
          <w:lang w:val="es-MX"/>
        </w:rPr>
        <w:t>Pag</w:t>
      </w:r>
      <w:proofErr w:type="spellEnd"/>
      <w:r w:rsidRPr="009217A6">
        <w:rPr>
          <w:rFonts w:ascii="Arial" w:hAnsi="Arial" w:cs="Arial"/>
          <w:sz w:val="16"/>
          <w:lang w:val="es-MX"/>
        </w:rPr>
        <w:t>. 175</w:t>
      </w:r>
      <w:r w:rsidRPr="009217A6">
        <w:rPr>
          <w:rFonts w:ascii="Arial" w:hAnsi="Arial" w:cs="Arial"/>
          <w:sz w:val="16"/>
        </w:rPr>
        <w:t xml:space="preserve"> </w:t>
      </w:r>
    </w:p>
    <w:p w:rsidR="0093314D" w:rsidRPr="009217A6" w:rsidRDefault="0093314D" w:rsidP="0093314D">
      <w:pPr>
        <w:pStyle w:val="Textonotapie"/>
        <w:ind w:firstLine="708"/>
        <w:rPr>
          <w:rFonts w:ascii="Arial" w:hAnsi="Arial" w:cs="Arial"/>
          <w:sz w:val="16"/>
          <w:lang w:val="es-MX"/>
        </w:rPr>
      </w:pPr>
    </w:p>
  </w:footnote>
  <w:footnote w:id="29">
    <w:p w:rsidR="0093314D" w:rsidRPr="009217A6" w:rsidRDefault="0093314D" w:rsidP="0093314D">
      <w:pPr>
        <w:pStyle w:val="Textonotapie"/>
        <w:ind w:firstLine="708"/>
        <w:rPr>
          <w:rFonts w:ascii="Arial" w:hAnsi="Arial" w:cs="Arial"/>
          <w:sz w:val="16"/>
        </w:rPr>
      </w:pPr>
      <w:r w:rsidRPr="009217A6">
        <w:rPr>
          <w:rStyle w:val="Refdenotaalpie"/>
          <w:rFonts w:ascii="Arial" w:hAnsi="Arial" w:cs="Arial"/>
          <w:sz w:val="16"/>
        </w:rPr>
        <w:footnoteRef/>
      </w:r>
      <w:r w:rsidRPr="009217A6">
        <w:rPr>
          <w:rFonts w:ascii="Arial" w:hAnsi="Arial" w:cs="Arial"/>
          <w:sz w:val="16"/>
        </w:rPr>
        <w:t xml:space="preserve">FONTANET MALDONADO. J.: “Principios y Técnicas de </w:t>
      </w:r>
      <w:smartTag w:uri="urn:schemas-microsoft-com:office:smarttags" w:element="PersonName">
        <w:smartTagPr>
          <w:attr w:name="ProductID" w:val="la Pr￡ctica Forense"/>
        </w:smartTagPr>
        <w:r w:rsidRPr="009217A6">
          <w:rPr>
            <w:rFonts w:ascii="Arial" w:hAnsi="Arial" w:cs="Arial"/>
            <w:sz w:val="16"/>
          </w:rPr>
          <w:t>la Práctica Forense</w:t>
        </w:r>
      </w:smartTag>
      <w:r w:rsidRPr="009217A6">
        <w:rPr>
          <w:rFonts w:ascii="Arial" w:hAnsi="Arial" w:cs="Arial"/>
          <w:sz w:val="16"/>
        </w:rPr>
        <w:t>”,</w:t>
      </w:r>
      <w:r w:rsidRPr="009217A6">
        <w:rPr>
          <w:rFonts w:ascii="Arial" w:hAnsi="Arial" w:cs="Arial"/>
          <w:i/>
          <w:sz w:val="16"/>
        </w:rPr>
        <w:t xml:space="preserve"> </w:t>
      </w:r>
      <w:r w:rsidRPr="009217A6">
        <w:rPr>
          <w:rFonts w:ascii="Arial" w:hAnsi="Arial" w:cs="Arial"/>
          <w:sz w:val="16"/>
        </w:rPr>
        <w:t xml:space="preserve">1era </w:t>
      </w:r>
      <w:proofErr w:type="spellStart"/>
      <w:r w:rsidRPr="009217A6">
        <w:rPr>
          <w:rFonts w:ascii="Arial" w:hAnsi="Arial" w:cs="Arial"/>
          <w:sz w:val="16"/>
        </w:rPr>
        <w:t>ed</w:t>
      </w:r>
      <w:proofErr w:type="spellEnd"/>
      <w:r w:rsidRPr="009217A6">
        <w:rPr>
          <w:rFonts w:ascii="Arial" w:hAnsi="Arial" w:cs="Arial"/>
          <w:sz w:val="16"/>
        </w:rPr>
        <w:t xml:space="preserve">, Jurídica, San Juan, 1999, Pág. 125. </w:t>
      </w:r>
    </w:p>
    <w:p w:rsidR="0093314D" w:rsidRPr="009217A6" w:rsidRDefault="0093314D" w:rsidP="0093314D">
      <w:pPr>
        <w:pStyle w:val="Textonotapie"/>
        <w:ind w:firstLine="708"/>
        <w:rPr>
          <w:rFonts w:ascii="Arial" w:hAnsi="Arial" w:cs="Arial"/>
          <w:sz w:val="16"/>
          <w:lang w:val="es-MX"/>
        </w:rPr>
      </w:pPr>
    </w:p>
  </w:footnote>
  <w:footnote w:id="30">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Ver 6.5</w:t>
      </w:r>
    </w:p>
    <w:p w:rsidR="0093314D" w:rsidRPr="009217A6" w:rsidRDefault="0093314D" w:rsidP="0093314D">
      <w:pPr>
        <w:pStyle w:val="Textonotapie"/>
        <w:ind w:firstLine="708"/>
        <w:rPr>
          <w:rFonts w:ascii="Arial" w:hAnsi="Arial" w:cs="Arial"/>
          <w:sz w:val="16"/>
          <w:lang w:val="es-MX"/>
        </w:rPr>
      </w:pPr>
    </w:p>
  </w:footnote>
  <w:footnote w:id="31">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BAYTELMAN. A Y DUCE. M.: “Litigación Penal Y Juicio Oral”, Fondo de Justicia Y Sociedad. Fundación </w:t>
      </w:r>
      <w:proofErr w:type="spellStart"/>
      <w:r w:rsidRPr="009217A6">
        <w:rPr>
          <w:rFonts w:ascii="Arial" w:hAnsi="Arial" w:cs="Arial"/>
          <w:sz w:val="16"/>
        </w:rPr>
        <w:t>Esquel</w:t>
      </w:r>
      <w:proofErr w:type="spellEnd"/>
      <w:r w:rsidRPr="009217A6">
        <w:rPr>
          <w:rFonts w:ascii="Arial" w:hAnsi="Arial" w:cs="Arial"/>
          <w:sz w:val="16"/>
        </w:rPr>
        <w:t xml:space="preserve">-USAID, Quito, 2003, págs. </w:t>
      </w:r>
      <w:r w:rsidRPr="009217A6">
        <w:rPr>
          <w:rFonts w:ascii="Arial" w:hAnsi="Arial" w:cs="Arial"/>
          <w:sz w:val="16"/>
          <w:lang w:val="es-MX"/>
        </w:rPr>
        <w:t xml:space="preserve"> 87-88</w:t>
      </w:r>
    </w:p>
  </w:footnote>
  <w:footnote w:id="32">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BERGMAN, P.: “</w:t>
      </w:r>
      <w:smartTag w:uri="urn:schemas-microsoft-com:office:smarttags" w:element="PersonName">
        <w:smartTagPr>
          <w:attr w:name="ProductID" w:val="la Defensa"/>
        </w:smartTagPr>
        <w:r w:rsidRPr="009217A6">
          <w:rPr>
            <w:rFonts w:ascii="Arial" w:hAnsi="Arial" w:cs="Arial"/>
            <w:sz w:val="16"/>
            <w:lang w:val="es-MX"/>
          </w:rPr>
          <w:t>La Defensa</w:t>
        </w:r>
      </w:smartTag>
      <w:r w:rsidRPr="009217A6">
        <w:rPr>
          <w:rFonts w:ascii="Arial" w:hAnsi="Arial" w:cs="Arial"/>
          <w:sz w:val="16"/>
          <w:lang w:val="es-MX"/>
        </w:rPr>
        <w:t xml:space="preserve"> en Juicio”, 2° </w:t>
      </w:r>
      <w:proofErr w:type="spellStart"/>
      <w:r w:rsidRPr="009217A6">
        <w:rPr>
          <w:rFonts w:ascii="Arial" w:hAnsi="Arial" w:cs="Arial"/>
          <w:sz w:val="16"/>
          <w:lang w:val="es-MX"/>
        </w:rPr>
        <w:t>ed</w:t>
      </w:r>
      <w:proofErr w:type="spellEnd"/>
      <w:r w:rsidRPr="009217A6">
        <w:rPr>
          <w:rFonts w:ascii="Arial" w:hAnsi="Arial" w:cs="Arial"/>
          <w:sz w:val="16"/>
          <w:lang w:val="es-MX"/>
        </w:rPr>
        <w:t xml:space="preserve">, </w:t>
      </w:r>
      <w:proofErr w:type="spellStart"/>
      <w:r w:rsidRPr="009217A6">
        <w:rPr>
          <w:rFonts w:ascii="Arial" w:hAnsi="Arial" w:cs="Arial"/>
          <w:sz w:val="16"/>
          <w:lang w:val="es-MX"/>
        </w:rPr>
        <w:t>Abeledo</w:t>
      </w:r>
      <w:proofErr w:type="spellEnd"/>
      <w:r w:rsidRPr="009217A6">
        <w:rPr>
          <w:rFonts w:ascii="Arial" w:hAnsi="Arial" w:cs="Arial"/>
          <w:sz w:val="16"/>
          <w:lang w:val="es-MX"/>
        </w:rPr>
        <w:t xml:space="preserve"> </w:t>
      </w:r>
      <w:proofErr w:type="spellStart"/>
      <w:r w:rsidRPr="009217A6">
        <w:rPr>
          <w:rFonts w:ascii="Arial" w:hAnsi="Arial" w:cs="Arial"/>
          <w:sz w:val="16"/>
          <w:lang w:val="es-MX"/>
        </w:rPr>
        <w:t>Perrot</w:t>
      </w:r>
      <w:proofErr w:type="spellEnd"/>
      <w:r w:rsidRPr="009217A6">
        <w:rPr>
          <w:rFonts w:ascii="Arial" w:hAnsi="Arial" w:cs="Arial"/>
          <w:sz w:val="16"/>
          <w:lang w:val="es-MX"/>
        </w:rPr>
        <w:t>, Buenos Aires, 1989, Págs. 146-147</w:t>
      </w:r>
    </w:p>
    <w:p w:rsidR="0093314D" w:rsidRPr="009217A6" w:rsidRDefault="0093314D" w:rsidP="0093314D">
      <w:pPr>
        <w:pStyle w:val="Textonotapie"/>
        <w:ind w:firstLine="708"/>
        <w:rPr>
          <w:rFonts w:ascii="Arial" w:hAnsi="Arial" w:cs="Arial"/>
          <w:sz w:val="16"/>
          <w:lang w:val="es-MX"/>
        </w:rPr>
      </w:pPr>
    </w:p>
  </w:footnote>
  <w:footnote w:id="33">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BERGMAN. P.: “</w:t>
      </w:r>
      <w:smartTag w:uri="urn:schemas-microsoft-com:office:smarttags" w:element="PersonName">
        <w:smartTagPr>
          <w:attr w:name="ProductID" w:val="la Defensa"/>
        </w:smartTagPr>
        <w:r w:rsidRPr="009217A6">
          <w:rPr>
            <w:rFonts w:ascii="Arial" w:hAnsi="Arial" w:cs="Arial"/>
            <w:sz w:val="16"/>
            <w:lang w:val="es-MX"/>
          </w:rPr>
          <w:t>La Defensa</w:t>
        </w:r>
      </w:smartTag>
      <w:r w:rsidRPr="009217A6">
        <w:rPr>
          <w:rFonts w:ascii="Arial" w:hAnsi="Arial" w:cs="Arial"/>
          <w:sz w:val="16"/>
          <w:lang w:val="es-MX"/>
        </w:rPr>
        <w:t xml:space="preserve"> en Juicio”, 2° </w:t>
      </w:r>
      <w:proofErr w:type="spellStart"/>
      <w:r w:rsidRPr="009217A6">
        <w:rPr>
          <w:rFonts w:ascii="Arial" w:hAnsi="Arial" w:cs="Arial"/>
          <w:sz w:val="16"/>
          <w:lang w:val="es-MX"/>
        </w:rPr>
        <w:t>ed</w:t>
      </w:r>
      <w:proofErr w:type="spellEnd"/>
      <w:r w:rsidRPr="009217A6">
        <w:rPr>
          <w:rFonts w:ascii="Arial" w:hAnsi="Arial" w:cs="Arial"/>
          <w:sz w:val="16"/>
          <w:lang w:val="es-MX"/>
        </w:rPr>
        <w:t xml:space="preserve">, </w:t>
      </w:r>
      <w:proofErr w:type="spellStart"/>
      <w:r w:rsidRPr="009217A6">
        <w:rPr>
          <w:rFonts w:ascii="Arial" w:hAnsi="Arial" w:cs="Arial"/>
          <w:sz w:val="16"/>
          <w:lang w:val="es-MX"/>
        </w:rPr>
        <w:t>Abeledo</w:t>
      </w:r>
      <w:proofErr w:type="spellEnd"/>
      <w:r w:rsidRPr="009217A6">
        <w:rPr>
          <w:rFonts w:ascii="Arial" w:hAnsi="Arial" w:cs="Arial"/>
          <w:sz w:val="16"/>
          <w:lang w:val="es-MX"/>
        </w:rPr>
        <w:t xml:space="preserve"> </w:t>
      </w:r>
      <w:proofErr w:type="spellStart"/>
      <w:r w:rsidRPr="009217A6">
        <w:rPr>
          <w:rFonts w:ascii="Arial" w:hAnsi="Arial" w:cs="Arial"/>
          <w:sz w:val="16"/>
          <w:lang w:val="es-MX"/>
        </w:rPr>
        <w:t>Perrot</w:t>
      </w:r>
      <w:proofErr w:type="spellEnd"/>
      <w:r w:rsidRPr="009217A6">
        <w:rPr>
          <w:rFonts w:ascii="Arial" w:hAnsi="Arial" w:cs="Arial"/>
          <w:sz w:val="16"/>
          <w:lang w:val="es-MX"/>
        </w:rPr>
        <w:t>, Buenos Aires, 1989, Pág. 147</w:t>
      </w:r>
    </w:p>
    <w:p w:rsidR="0093314D" w:rsidRPr="009217A6" w:rsidRDefault="0093314D" w:rsidP="0093314D">
      <w:pPr>
        <w:pStyle w:val="Textonotapie"/>
        <w:ind w:firstLine="708"/>
        <w:rPr>
          <w:rFonts w:ascii="Arial" w:hAnsi="Arial" w:cs="Arial"/>
          <w:sz w:val="16"/>
          <w:lang w:val="es-MX"/>
        </w:rPr>
      </w:pPr>
    </w:p>
    <w:p w:rsidR="0093314D" w:rsidRPr="00B26784" w:rsidRDefault="0093314D" w:rsidP="0093314D">
      <w:pPr>
        <w:pStyle w:val="Textonotapie"/>
        <w:rPr>
          <w:rFonts w:ascii="Arial" w:hAnsi="Arial" w:cs="Arial"/>
          <w:lang w:val="es-MX"/>
        </w:rPr>
      </w:pPr>
    </w:p>
  </w:footnote>
  <w:footnote w:id="34">
    <w:p w:rsidR="0093314D" w:rsidRPr="009217A6" w:rsidRDefault="0093314D" w:rsidP="0093314D">
      <w:pPr>
        <w:pStyle w:val="Textonotapie"/>
        <w:ind w:firstLine="708"/>
        <w:rPr>
          <w:rFonts w:ascii="Arial" w:hAnsi="Arial" w:cs="Arial"/>
          <w:sz w:val="16"/>
          <w:lang w:val="es-MX"/>
        </w:rPr>
      </w:pPr>
      <w:r w:rsidRPr="009217A6">
        <w:rPr>
          <w:rStyle w:val="Refdenotaalpie"/>
          <w:rFonts w:ascii="Arial" w:hAnsi="Arial" w:cs="Arial"/>
          <w:sz w:val="16"/>
        </w:rPr>
        <w:footnoteRef/>
      </w:r>
      <w:r w:rsidRPr="009217A6">
        <w:rPr>
          <w:rFonts w:ascii="Arial" w:hAnsi="Arial" w:cs="Arial"/>
          <w:sz w:val="16"/>
        </w:rPr>
        <w:t xml:space="preserve"> </w:t>
      </w:r>
      <w:r w:rsidRPr="009217A6">
        <w:rPr>
          <w:rFonts w:ascii="Arial" w:hAnsi="Arial" w:cs="Arial"/>
          <w:sz w:val="16"/>
          <w:lang w:val="es-MX"/>
        </w:rPr>
        <w:t>MONTES CALDERÓN. A.: “Técnicas del Juicio Oral en el Sistema Penal Colombiano”</w:t>
      </w:r>
      <w:r w:rsidRPr="009217A6">
        <w:rPr>
          <w:rFonts w:ascii="Arial" w:hAnsi="Arial" w:cs="Arial"/>
          <w:i/>
          <w:sz w:val="16"/>
          <w:lang w:val="es-MX"/>
        </w:rPr>
        <w:t xml:space="preserve">, </w:t>
      </w:r>
      <w:r w:rsidRPr="009217A6">
        <w:rPr>
          <w:rFonts w:ascii="Arial" w:hAnsi="Arial" w:cs="Arial"/>
          <w:sz w:val="16"/>
          <w:lang w:val="es-MX"/>
        </w:rPr>
        <w:t xml:space="preserve">1era. </w:t>
      </w:r>
      <w:proofErr w:type="spellStart"/>
      <w:r w:rsidRPr="009217A6">
        <w:rPr>
          <w:rFonts w:ascii="Arial" w:hAnsi="Arial" w:cs="Arial"/>
          <w:sz w:val="16"/>
          <w:lang w:val="es-MX"/>
        </w:rPr>
        <w:t>ed</w:t>
      </w:r>
      <w:proofErr w:type="spellEnd"/>
      <w:r w:rsidRPr="009217A6">
        <w:rPr>
          <w:rFonts w:ascii="Arial" w:hAnsi="Arial" w:cs="Arial"/>
          <w:sz w:val="16"/>
          <w:lang w:val="es-MX"/>
        </w:rPr>
        <w:t xml:space="preserve">, </w:t>
      </w:r>
      <w:proofErr w:type="spellStart"/>
      <w:r w:rsidRPr="009217A6">
        <w:rPr>
          <w:rFonts w:ascii="Arial" w:hAnsi="Arial" w:cs="Arial"/>
          <w:sz w:val="16"/>
          <w:lang w:val="es-MX"/>
        </w:rPr>
        <w:t>Quebecor</w:t>
      </w:r>
      <w:proofErr w:type="spellEnd"/>
      <w:r w:rsidRPr="009217A6">
        <w:rPr>
          <w:rFonts w:ascii="Arial" w:hAnsi="Arial" w:cs="Arial"/>
          <w:sz w:val="16"/>
          <w:lang w:val="es-MX"/>
        </w:rPr>
        <w:t xml:space="preserve"> </w:t>
      </w:r>
      <w:proofErr w:type="spellStart"/>
      <w:r w:rsidRPr="009217A6">
        <w:rPr>
          <w:rFonts w:ascii="Arial" w:hAnsi="Arial" w:cs="Arial"/>
          <w:sz w:val="16"/>
          <w:lang w:val="es-MX"/>
        </w:rPr>
        <w:t>World</w:t>
      </w:r>
      <w:proofErr w:type="spellEnd"/>
      <w:r w:rsidRPr="009217A6">
        <w:rPr>
          <w:rFonts w:ascii="Arial" w:hAnsi="Arial" w:cs="Arial"/>
          <w:sz w:val="16"/>
          <w:lang w:val="es-MX"/>
        </w:rPr>
        <w:t xml:space="preserve"> Bogotá S.A, Bogotá D.C, 2003, Pág. 176.</w:t>
      </w:r>
    </w:p>
  </w:footnote>
  <w:footnote w:id="35">
    <w:p w:rsidR="0093314D" w:rsidRPr="00B26784" w:rsidRDefault="0093314D" w:rsidP="0093314D">
      <w:pPr>
        <w:pStyle w:val="Textonotapie"/>
        <w:ind w:firstLine="708"/>
        <w:rPr>
          <w:rFonts w:ascii="Arial" w:hAnsi="Arial" w:cs="Arial"/>
          <w:lang w:val="es-MX"/>
        </w:rPr>
      </w:pPr>
      <w:r w:rsidRPr="009217A6">
        <w:rPr>
          <w:rStyle w:val="Refdenotaalpie"/>
          <w:rFonts w:ascii="Arial" w:hAnsi="Arial" w:cs="Arial"/>
          <w:sz w:val="16"/>
        </w:rPr>
        <w:footnoteRef/>
      </w:r>
      <w:r w:rsidRPr="009217A6">
        <w:rPr>
          <w:rFonts w:ascii="Arial" w:hAnsi="Arial" w:cs="Arial"/>
          <w:sz w:val="16"/>
        </w:rPr>
        <w:t xml:space="preserve"> RAMOS GONZÁLEZ, CARLOS Y VÉLEZ RODRÍGUEZ, ENRIQUE, “Teoría y Práctica de </w:t>
      </w:r>
      <w:smartTag w:uri="urn:schemas-microsoft-com:office:smarttags" w:element="PersonName">
        <w:smartTagPr>
          <w:attr w:name="ProductID" w:val="Զ泰ԳᓌԶ฀ϝ뻴Ϝ߾䀛聀㑠ϙ뻐Ϝ䎠:L俠ϙ삨Ϝ뻈ϜϜ٠Ԙ뻈ϜȐࠊЉӤӤ뻐Ϝ㈑䷒&#10;醛勌Զ睔Գ쁬Ϝ&#10;ᙰ9t뻈ϜT샜ϜÜ뻐Ϝ䲨ϖίက࿿čࠊʠϙʠϙʬϙ◌ζ　ζ　ကΰдΰကΰζ ζ@ζdζζ°ζÐζðζĔζĸζŘζżζƜζǀζǠζȄζȨζɌζɰζʔζʸζ˜ζ̀ζ̤ζ͈ζͬζΐζδζϘζϼζРζфζѨζҌζҰζӔζӸζԜζՀζդζֈζ֬ζאζ׸ζؠζلζ٨ζڌζڰζ۔ζ۸ζܜζ݀ζݤζވζެζߐζߴζ࠘ζ࠼ζࡠζࢄζࢤζࣄζࣨζईζरζ॔ζॸζজζীζ৤ζ਄ζਨζੌζ੬ζઐζ઴ζ૘ζૼζଠζୈζ୨ζ஌ζ஬ζௌζ௰ζఔζ఼ζౠζಈζನζೌζ೬ζഐζഴζൔζ൴ζගζ඼ζ෠ζคζศζ์ζ๰ζດζິζ໘ζ໸ζ༜ζཀζའζ྄ζྤζ࿄ζ࿨ζဌζဴζၘζၼζႠζჄζშζᄌζᄬζᅌζᅰζᆔζᆸζᇘζᇼζሠζቀζቤζኄζከζዌζደζጐζጴζፘζᎀζᎠζᏄζᏬζᐔζᐸζᑜζᒄζᒨζᓌζᓬζᔔζᔸζᕠζᖄζᖨζᗈζᗬζᘐζᘰζᙔζᙸζ᚜ζᛀζᛠζᜀζᜤζᝈζᝨζឌζឰζ។ζ៸ζ᠜ζᡀζᡠζᢀζᢤζᣈζᣨζᤌζᤰζᥔζ᥸ζᦜζᧀζ᧤ζᨈζᨬζᩐζᩴζ᪘ζ᪼ζ᫤ζᬈζᬨζᭌζ᭰ζᮔζ᮸ζᯘζᰀζᰤζ᱌ζᱸζᲤζ᳐ζ᳸ζᴠζᵈζᵴζᶤζᷘζḐζḼζṠζẐζẸζỨζἘζὄζὴζᾠζῌζῸζ ζ⁈ζ⁨ζ₈ζζζζζζζζζζζζζζζ₨ζ⃈ζ⃨ζ℈ζℨζⅈζⅨζↈζ↨ζ⁈ζ⇈ζ⇨ζ∈ζ∨ζ≈ζ≨ζ⊈ζ⊨ζ⋈ζ⋨ζ⌈ζ⌨ζ⍈ζ⍨ζ⎈ζ⎨ζ ζ싄Է싀Է슸Է슬Է스Է슠Է넼Է슘Է낼Է슔Է슌Է슈Է슀Է쉼Է쉴Է냌Է쉬Է쉤Է쉜Է쉔Է쉌Է쉄Է숼Է숴Է숬Է숤Է순Է숔Է숌Է숄Է쇼Է쇴Է쇬Է쇤Է쇜Է쇔Է쇌Է쇄Է솼Է솴Է솬Է솤Է냤Է솘Է냜Է손Է솈Է냄Է솀Է셸Է셰Է셨Է셠Է션Է셐Է셈Է셀Է세Է섰Է섨Է선Է서Է섘Է섐Է섌Է섀Է샸Է샰Է샨Է샠Է샘Է샔Է샌Է샄Է샀Է삸Է산Է삨Է삠Է삘Է삌Է삈Է삀Է쁼Է쁸Է쁰Է쁨Է쁜Է쁔Է쁈Է쁄Է쀼Է쀸Է쀰Է쀨Է쀤Է쀠Է쀔Է쀐Է쀈Է쀀Է뿸Է뿰Է뿨Է뿠Է뿜Է넀Է뿘Է뿐Է뿈Է뿄Է뾼Է뾸Է뾴Է뾬Է뾤Է뾘Է뾐Է뾈Է뾀Է냸Է뽸Է뽰Է넜Է뽬Է뽤Է뽜Է뽔Է뽐Է뽈Է뽀Է뼼Է뼴Է뼰Է넴Է뼨Է뼠Է뼜Է뼔Է뼌Է뼀Է뻼Է뻴Է뻨Է뻜Է싈Է뻔Է뻈Է뻀Է뺸Է뺴Է뺨Է뺠Է뺔Է뺌Է뺄Է넰Է빼Է빴Է빰Է빨Է빠Է빘Է빐Է빌Է빈Է빀Է냰Է븼Է븴Է븬Է븤Է븜Է냔Է블Է븐Է브Է븄Է뷼Է뷸Է뷰Է뷨Է뷠Է뷘Է뷐Է뷈Է뷀Է붸Է붰Է붨Է붠Է붘Է붐Է분Է뵼Է뵸Է뵰Է뵨Է뵠Է뵘Է뵔Է뵈Է뵀Է봴Է봤Է봔Է봄Է본Է볬Է볠Է볐Է벼Է벤Է번Է뱸Է뱰Է뱜Է뱐Է밼Է밨Է반Է밄Է믴Է믤Է믔Է므Է넌Է싐Է넔Է뮼Է싄Է싄Է싄Է싄Է싄Է싄Է싄Է싄Է싄Է싄Է싄Է싄Է싄Է싄Է넬Է뮸Է뮴Է넨Է널Է너Է뮰Է뮬Է뮨Է싐Է뮤Է뮠Է뮜Է네Է뮘Է뮔Է뮐Է뮌Է뮈Է넠Է뮄Է뮀Է넘Է뭼Է뭸Է뭴Է넌Է́आ̅؃ȅĆȄ܆ЅЅԄЅЅԄЅІ܅Ѕ؄ЇԆࠈԄ܅܇؇؇؆؆؆̆ЃࠂІ؄̅Ѕԃ؅ЅĈ̅؃ࠇࠆ؃ԂȄਃԂ؆ԇ̆ȇІЃ̃ЄЉЅЄȄЃԄ؃̄̄ЇȆ؄ȈਆԈࠇ؄ਃआԄ؃̆Ԅ؄̃؆؃Є؇̇ЃȄЄ؆؆ԇЇԅ਄̅ԆЇःਇ༌਎ऊሎ᠕܎ଐᄒᄌఎሏāāāāāāāāāāāāāāāāȂȁĂȂāȁ̀ϙ㒨ϙ倐ϙ㸘ϖϜ쮸ϜʀȘ邬‑竊ࠎȀ札ￕ䎯֍嵵꣠`醻㘑笅ࠎ∘ϝϖΛȀǿĀЉʀϙʀϙʌϙ¼Ξ　Ξ　ကΜΜΜΞ$Ξ싄Է싀Է슸Է슬Է스Է슠Է넼Է슘Է낼Է슔Է슌Է슈Է슀Է쉼Է쉴Է냌Է쉬Է쉤Է쉜Է쉔Է쉌Է쉄Է숼Է숴Է숬Է숤Է순Է숔Է숌Է숄Է쇼Է쇴Է쇬Է쇤Է쇜Է쇔Է쇌Է쇄Է솼Է솴Է솬Է솤Է냤Է솘Է냜Է손Է솈Է냄Է솀Է셸Է셰Է셨Է셠Է션Է셐Է셈Է셀Է세Է섰Է섨Է선Է서Է섘Է섐Է섌Է섀Է샸Է샰Է샨Է샠Է샘Է샔Է샌Է샄Է샀Է삸Է산Է삨Է삠Է삘Է삌Է삈Է삀Է쁼Է쁸Է쁰Է쁨Է쁜Է쁔Է쁈Է쁄Է쀼Է쀸Է쀰Է쀨Է쀤Է쀠Է쀔Է쀐Է쀈Է쀀Է뿸Է뿰Է뿨Է뿠Է뿜Է넀Է뿘Է뿐Է뿈Է뿄Է뾼Է뾸Է뾴Է뾬Է뾤Է뾘Է뾐Է뾈Է뾀Է냸Է뽸Է뽰Է넜Է뽬Է뽤Է뽜Է뽔Է뽐Է뽈Է뽀Է뼼Է뼴Է뼰Է넴Է뼨Է뼠Է뼜Է뼔Է뼌Է뼀Է뻼Է뻴Է뻨Է뻜Է싈Է뻔Է뻈Է뻀Է뺸Է뺴Է뺨Է뺠Է뺔Է뺌Է뺄Է넰Է빼Է빴Է빰Է빨Է빠Է빘Է빐Է빌Է빈Է빀Է냰Է븼Է븴Է븬Է븤Է븜Է냔Է블Է븐Է브Է븄Է뷼Է뷸Է뷰Է뷨Է뷠Է뷘Է뷐Է뷈Է뷀Է붸Է붰Է붨Է붠Է붘Է붐Է분Է뵼Է뵸Է뵰Է뵨Է뵠Է뵘Է뵔Է뵈Է뵀Է봴Է봤Է봔Է봄Է본Է볬Է볠Է볐Է벼Է벤Է번Է뱸Է뱰Է뱜Է뱐Է밼Է밨Է반Է밄Է믴Է믤Է믔Է므Է넌Է싐Է넔Է뮼Է싄Է싄Է싄Է싄Է싄Է싄Է싄Է싄Է싄Է싄Է싄Է싄Է싄Է싄Է넬Է뮸Է뮴Է넨Է널Է너Է뮰Է뮬Է뮨Է싐Է뮤Է뮠Է뮜Է네Է뮘Է뮔Է뮐Է뮌Է뮈Է넠Է뮄Է뮀Է넘Է뭼Է뭸Է뭴Է넌ԷЀ邹㔑稒ฎ䚴ϖ䛘ϖ䚼ϖ䛌ϖ-00郮我笐ࠎdC:\PROGRA~1\COMMON~1\MICROS~1\SMARTT~1\FPERSON.DLLϜ1SL.oc郬怑筇ࠎxcrosoft Word 12.0 Object Library鄾댑筅ࠎ∠凸̘̀︥∠咄ڀͰ0(溽∠坘ƠĴHDﷸ∠塘ƠŠ``﷛∠奼Ơƌ x|︤∠嫄ƠŠ﷑∠寨Ð°¨¬﷢∠屼ڀͰÀÌ﷯∠彐ƠĈØä﷈∠ 怬ÐðĀ﷉∠&#10;悜hXĈĜﴔ∠惨ƠÜĠĴ︣∠憠ÐĸŐ︢∠&#10;成Ð°ŐŨ︡ਢ护̀ǤŨƀ溽ਢ搴⠀ᒀ7ƀƘ滄,ਢ瘄਀ܘƘƬ溾,ਢ篰਀נưǄ滀,ਢ胘ऀ߬ǈǜ溿,ਢ蝴ࠀШǠǰ滁,ਢ諰ఀࡼǸȈ滂,ਢ釤Ԁ͸ȐȠ滃,ਢ铌ހ٨&#10;ȨȰ谸,ਢ駬ր˘ ɀɈ,∣鱈ࠀרɘɤl∴ꂄԀϘ&#10;ɰ児ʀP∥ꌼʈʘﲕ∴ꌼǀƨʠ児ʰ碆0∥ꑰʸˈ豧∣ꑰŀØːˠ&#10;Ϝ∥ꔐ˨˸ﳎ Ϝ∠ꔐƠǛ̌︈ਢ ꗈᨀᄄc̤ﳖਢ!뎸ƠŠ̀ﳏਢ&quot;드ڀӼ͜ﳗ∠#룴hX̘ͼ&#10;逺똑窗ࠎ䲀瘐䯨瘐ა瘑ஸꕐ7䲀瘐䯨瘐ა瘑୔ꕐ7Ϝ疀蠸蜘ĎϜᮈ兩ϜĆ脸㰔ヸ买ミϜ疀þƈϜǰᮈ뿘ؒϜǨ㳄ヸ裈㰔ヸϜை褘琀疀ϜǠ裘ŸǢᮈϜǚϜ襘㰔ヸ买ミ袈覨琀疀Ϝǒ襨ŸǔϜᮈ兩Ϝǌ㳄ヸ觨㰔ヸ买ミ褘訸Ϝ疀Ǆ觸ŸϜᮈ侮Ϝƾ㳄ヸ詸㰔ヸ买ミ覨Ϝ琀疀ƶϜŸƨᮈߠϜƠ㳄ヸ謈Ϝ买ミ訸識琀疀ϜƘ謘ŸƚϜҐϜ㳄ヸ讘㰔ヸ买ミ諈诨琀ϜƊ讨ŸƌϜᮈϜƄ㳄ヸ谨㰔ヸ买ミ識豸Ϝ琀疀ż谸՘ϜžᮈϜŶ㳄ヸ貸㰔ヸ买ミϜ贈琀疀Ϝ賈ӈŠᮈﾈϜŘ㳄ヸϜ㰔ヸ买ミ豸趘琀疀Ő赘иŒ郜們箓ࠎ@C:\Windows\system32\stdole2.tlb0000046}#4.0#9#C:\PROGRA~1\COMMON~1\MICROS~1\VBA\VBA6\VBE6.DLL#Visual Basic For Applications逳뼑筵ဎ*\G{00020905-0000-0000-C000-000000000046}#8.4#0#C:\Program Files\Microsoft Office\Office12\MSWORD.OLB#Microsoft Word 12.0 Object Library̘⼐:*\G{000204EF-0000-0000-C000-000000000046}#4.0#9#C:\PROGRA~1\COMMON~1\MICROS~1\VBA\VBA6\VBE6.DLL#Visual Basic For ApplicationsĘĸꕐ7*\G{00020430-0000-0000-C000-000000000046}#2.0#0#C:\Windows\system32\stdole2.tlb#OLE AutomationΨɘ⃰:034dd23211FThisDocument OThisDocument\G{*\CNormal00Ӹΐ㈑䷒*\G{2DF8D04C-5BFA-101B-BDE5-00AA0044DE52}#2.4#0#C:\Program Files\Common Files\Microsoft Shared\OFFICE12\MSO.DLL#Microsoft Office 12.0 Object Library0-Cψꝸ7ŀ0#9#C:\PROGRA~1\COMMON~1\MICROS~1\VBA\VBA6\VBE6.DLL#Visual Basic For Applications箨Ųp㰔ヸ买ミ鏈铨琀疀Ū钨ŸŬᮈ羀遹箚ࠎ䙜ϖ䪜ϖ8ᜈԳᜤԳ鸪Բ䦟Բ@8揠Զ援Զ搋Զ挀Զ@ϜϜ8嬈Ա嬎Ա戃Զ懅Զ@8쒔Վ쒠Վ쒺Վ쓙Վ@8ᛯԳᛵԳ̹Գ䝊Բ@8᜾ԳᝄԳͣԳ䯷Բ쓴Վ@8聅Ա聗ԱퟑԲ更԰@8揠Զ援Զ搋Զ挀Զ@ 8褹Ա褿Ա堛Ա未Ա엇Վ@&#10;8⟼Թ⠂Թ樉Ա嬡Ա연Վ@8ᑭԳᑹԳԲ㭔Բ@8ᒓԳᒤԳ䫨Բ䉦Բ@&#10;8庩Ա庳Ա䩴԰䓻԰@8쐤Վ쐵Վ쑔Վ쑴Վ@8쐞Վ씝Վ앆Վ앻Վ얞Վ@긔Է逰밑篐ࠎΈ뻐Ϝam FѨ฀ϝט2321׸Pиfice*\G{00020905-0000-0000-C000-000000000046}#8.4#0#C:\Program Files\Microsoft Office\Office12\MSWORD.OLB#Microsoft Word 12.0 Object LibraryƐш*\G{000204EF-0000-0000-C000-000000000046}#4.0#9#C:\PROGRA~1\COMMON~1\MICROS~1\VBA\VBA6\VBE6.DLL#Visual Basic For Applications箨ʸјŲ*\G{00020430-0000-0000-C000-000000000046}#2.0#0#C:\Windows\system32\stdole2.tlb#OLE Automation晏@*\CC:\Users\Armando Serrano\Documents\LIBRO DE Pr.Pn.UNICO VALIDO.doc॰ϝ׈dd\sŨ\Fʐxt͸*\CNormal텘Ҙר4e*\G{2DF8D04C-5BFA-101B-BDE5-00AA0044DE52}#2.4#0#C:\Program Files\Common Files\Microsoft Shared\OFFICE12\MSO.DLL#Microsoft Office 12.0 Object Librarytti㞠ϙtШ-u`192.168.1.3 &#10;$'Đ穘知췯覫耀遪箙ࠏ℠೴hX&#10;℠ീÐ°04&#10;℣ුpHTℤศ`႐p℥ศxℤศ4,တℤ๐hX¨တ´ℤຜhXÀတØ℣໨ Øတü$&#10;ℤ པðတĔℤ&#10;པĈတİ℥པĠŌ ڸϝ邾㈑篃ࠏ䲀瘐䯨瘐ა瘑ьꦠ7ŰܐϝﰰؙﳈؙﵠؙﷸؙﺐؙＨؙ￀ؙؙؙܼϝؙؙؙؙؙؙؙؙ ؚŐؚݨϝʰؚͰؚРؚӠؚؚِؚ֠ܐؚ߀ؚࢀؚरؚޔϝઠؚ୐ؚఀؚರؚ൰ؚภؚ໐ؚؚྀ၀ؚᄀؚ߀ϝበؚጠؚᏐؚᒀؚᕀؚᗰؚᚰؚᝈؚ៸ؚᢨؚ߬ϝؚؚᨘ᫈᭸ؚᰨؚؚ᳘ᶘؚṈؚἈؚᾸؚ⁸ؚ࠘ϝ⇨ؚ⊘ؚ⍈ؚ⏸ؚ⒨ؚ╨ؚ☘ؚ⛘ؚ➘ؚ⡈ؚࡄϝ⦨ؚ⩨ؚ⬨ؚ⯘ؚⲘؚⵘؚ⸈ؚ⺸ؚ⽨ؚ〠ؚࡰϝ㆐ؚ㉐ؚ㌀ؚ㏀ؚ㒀ؚ㕀ؚ㗰ؚ㚰ؚ㝰ؚ㠠ؚ࢜ϝ㦐ؚ㩀ؚ㫰ؚ㮰ؚ㱠ؚ㴐ؚ㷐ؚ㺐ؚ㽀ؚ㿰ؚ䅐ؚ䈀ؚ䋀ؚ䍰ؚ䐠ؚ䓐ؚ䖀ؚ郩攑笗ఏC:\Users\Armando Serrano\AppData\Roaming\Microsoft\Plantillas\Normal.dotm郲縑筀ࠏ㘔Զ兌Զ㝄Զ괈Զ㫨ϝ䤰ϙ䥘ϙ傠ϙ僀ϙ䋰:฀ϝ郸甐筛⓰:ԘϚ̀tǲ䃨4lǲ郩攑筑ࠏC:\Users\Armando Serrano\AppData\Roaming\Microsoft\Plantillas\Normal.dotm郣漑筀ఏ䩨瘟䭜瘟卨5રϝ둀4¬&quot;畜瘟ᢰ瘭츷䟰ϙǴ귐5㓀ϙ㓀ϙ兤瘞રϝ刬瘞રϝ୔ϝ刜瘞刌瘞꙼瘝Ꙭ瘝୔ϝ멜ɗ襴擵푋ᆻ땨롋Ὥ촎䲶㨿નઠؚ୐ؚ邶㨑筊ࠏ玈Գ฀ϝ∬ϝ*\CNormal211獰Գ偠ϙϸլ酣笟ࠏ໘ϝㇴԶ泰ԳᓌԶ뻐Ϝฤϝ߾䀛聀㓘ϙ฀ϝ䍈:L偀ϙ࿘ϝ෸ϝ㑸ϝ٠Ӡ෸ϝȐࠊЉӤӤ฀ϝ㈑䷒嶝勌Զ睔Գྜϝ8h෸ϝHဌϝÜ฀ϝϜιက࿿Čࠊˀϙˀϙˌϙ▨μ　μ　ကκаκကκμ μ@μdμμ°μÐμðμĔμĸμŘμżμƜμǀμǠμȄμȨμɌμɰμʔμʸμ˜μ̀μ̤μ͈μͬμΐμδμϘμϼμРμфμѨμҌμҰμӔμӸμԜμՀμդμֈμ֬μאμ׸μؠμلμ٨μڌμڰμ۔μ۸μܜμ݀μݤμވμެμߐμߴμ࠘μ࠼μࡠμࢄμࢤμࣄμࣨμईμरμ॔μॸμজμীμ৤μ਄μਨμੌμ੬μઐμ઴μ૘μૼμଠμୈμ୨μ஌μ஬μௌμ௰μఔμ఼μౠμಈμನμೌμ೬μഐμഴμൔμ൴μගμ඼μ෠μคμศμ์μ๰μດμິμ໘μ໸μ༜μཀμའμ྄μྤμ࿄μ࿨μဌμဴμၘμၼμႠμჄμშμᄌμᄬμᅌμᅰμᆔμᆸμᇘμᇼμሠμቀμቤμኄμከμዌμደμጐμጴμፘμᎀμᎠμᏄμᏬμᐔμᐸμᑜμᒄμᒨμᓌμᓬμᔔμᔸμᕠμᖄμᖨμᗈμᗬμᘐμᘰμᙔμᙸμ᚜μᛀμᛠμᜀμᜤμᝈμᝨμឌμឰμ។μ៸μ᠜μᡀμᡠμᢀμᢤμᣈμᣨμᤌμᤰμᥔμ᥸μᦜμᧀμ᧤μᨈμᨬμᩐμᩴμ᪘μ᪼μ᫤μᬈμᬨμᭌμ᭰μᮔμ᮸μᯘμᰀμᰤμ᱌μᱸμᲤμ᳐μ᳸μᴠμᵈμᵴμᶤμᷘμḐμḼμṠμẐμẸμỨμἘμὄμὴμᾠμῌμῸμ μ⁈μ⁨μ₈μμμμμμμμμμμμμμμ₨μ⃈μ⃨μ℈μℨμⅈμⅨμↈμ↨μ⁈μ⇈μ⇨μ∈μ∨μ≈μ≨μ⊈μ⊨μ⋈μ⋨μ⌈μ⌨μ⍈μ⍨μ⎈μ⎨μ μ싄Է싀Է슸Է슬Է스Է슠Է넼Է슘Է낼Է슔Է슌Է슈Է슀Է쉼Է쉴Է냌Է쉬Է쉤Է쉜Է쉔Է쉌Է쉄Է숼Է숴Է숬Է숤Է순Է숔Է숌Է숄Է쇼Է쇴Է쇬Է쇤Է쇜Է쇔Է쇌Է쇄Է솼Է솴Է솬Է솤Է냤Է솘Է냜Է손Է솈Է냄Է솀Է셸Է셰Է셨Է셠Է션Է셐Է셈Է셀Է세Է섰Է섨Է선Է서Է섘Է섐Է섌Է섀Է샸Է샰Է샨Է샠Է샘Է샔Է샌Է샄Է샀Է삸Է산Է삨Է삠Է삘Է삌Է삈Է삀Է쁼Է쁸Է쁰Է쁨Է쁜Է쁔Է쁈Է쁄Է쀼Է쀸Է쀰Է쀨Է쀤Է쀠Է쀔Է쀐Է쀈Է쀀Է뿸Է뿰Է뿨Է뿠Է뿜Է넀Է뿘Է뿐Է뿈Է뿄Է뾼Է뾸Է뾴Է뾬Է뾤Է뾘Է뾐Է뾈Է뾀Է냸Է뽸Է뽰Է넜Է뽬Է뽤Է뽜Է뽔Է뽐Է뽈Է뽀Է뼼Է뼴Է뼰Է넴Է뼨Է뼠Է뼜Է뼔Է뼌Է뼀Է뻼Է뻴Է뻨Է뻜Է싈Է뻔Է뻈Է뻀Է뺸Է뺴Է뺨Է뺠Է뺔Է뺌Է뺄Է넰Է빼Է빴Է빰Է빨Է빠Է빘Է빐Է빌Է빈Է빀Է냰Է븼Է븴Է븬Է븤Է븜Է냔Է블Է븐Է브Է븄Է뷼Է뷸Է뷰Է뷨Է뷠Է뷘Է뷐Է뷈Է뷀Է붸Է붰Է붨Է붠Է붘Է붐Է분Է뵼Է뵸Է뵰Է뵨Է뵠Է뵘Է뵔Է뵈Է뵀Է봴Է봤Է봔Է봄Է본Է볬Է볠Է볐Է벼Է벤Է번Է뱸Է뱰Է뱜Է뱐Է밼Է밨Է반Է밄Է믴Է믤Է믔Է므Է넌Է싐Է넔Է뮼Է싄Է싄Է싄Է싄Է싄Է싄Է싄Է싄Է싄Է싄Է싄Է싄Է싄Է싄Է넬Է뮸Է뮴Է넨Է널Է너Է뮰Է뮬Է뮨Է싐Է뮤Է뮠Է뮜Է네Է뮘Է뮔Է뮐Է뮌Է뮈Է넠Է뮄Է뮀Է넘Է뭼Է뭸Է뭴Է넌Է́आ̅؃ȅĆȄ܆ЅЅԄЅЅԄЅІ܅Ѕ؄ЇԆࠈԄ܅܇؇؇؆؆؆̆ЃࠂІ؄̅Ѕԃ؅ЅĈ̅؃ࠇࠆ؃ԂȄਃԂ؆ԇ̆ȇІЃ̃ЄЉЅЄȄЃԄ؃̄̄ЇȆ؄ȈਆԈࠇ؄ਃआԄ؃̆Ԅ؄̃؆؃Є؇̇ЃȄЄ؆؆ԇЇԅ਄̅ԆЇःਇ༌਎ऊሎ᠕܎ଐᄒᄌఎሏāāāāāāāāāāāāāāāāȂȁĂȂāȁˠϙ㓰ϙ偰ϙ஠ϝ⸸ϝ⡸ϝʀȘ郤树竊ࠏ88ీ׭ರ׭ &#10;&#10;郟匑筍ဏ~C:\Program Files\Common Files\Microsoft Shared\OFFICE12\MSO.DLLm32\stdole2.tlb#OLE Automation#Visual Basic For Applications遖筶ࠏňŐ月:?꜐:HϏ幀Ϗ밸Ϗᨰϐ砨ϐ혠ϐ㐘ϑ鈐ϑϑԈ;⥀Ϛ瀨:炨:枀:枘:⬐:⭠:烈:烨:焈:焨:煈:煨:熈:熨:燈:燨:爈:爨:枰:版:柈:柠:柸:ָ;ꛨ;趐9躐9辐9一ϒ伀ϒ䂈:9⮈:⮰:9㓨9㥨9㘈9㗘9捠9⯘:9㧸9㣘9㪈9擠99眈4攠999獠499㡈9㠘9敠9斠99Ⰰ:牨:9Ⱘ:㒸9ⱐ:ⱸ:㝘9犈:无9Ⲡ:㬘9㞈9㙨9盀4睐4999㧈9映999晠99煨499暠9痨499Ⳉ:㩘9㭸9㘸99㞸9曠9㭈99朠9㫨9⳰:ⴘ:㒈9杠9㛸999न8ⵀ:⵨:ڸ89ⶐ:Ϩ899֘8預89999ⶸ:ⷠ:⸈:⸰:⹘:馐8⺀:9999⺨:9⻐:鼨:齐:9齸:龠:鰰8㸸8㽘89枠9柠9䊸899뼨;9輨;栠9轰;鿈:뽘;鿰:辸;9ꀘ:犨:뾈;뾸;뿨;9쀘;쁈;9쁸;ꁀ:桠9삨;9ꁨ:샘;섈;ꂐ:999ꂸ:9999狈:ꃠ:ꄈ:ꄰ:9狨:ꅘ:9세;梠9ꆀ:9ꆨ:9ꇐ:99棠9ꇸ:99셨;솘;쇈;쇸;999椠99숨;쉘;슈;ꈠ:9슸;9ꉈ:9俰ϒ倨ϒ싨;退;偠ϒ쌘;楠9ꉰ:榠9ꊘ:썈;썸;ꋀ:傘ϒ僐ϒ儈ϒ쎨;쏘;兀ϒ槠9쐈;典ϒ쐸;ꋨ:冰ϒ猈:猨:獈:ꌐ:遈;쑨;凨ϒ删ϒ쒘;쓈;樠9剘ϒ劐ϒ橠9勈ϒꌸ:쓸;ꍠ:씨;았;얈;언;匀ϒ엨;獨:玈:ꎈ:옘;匸ϒ왈;외;印ϒ욨;웘;埰ϒ堠ϒ檠9玨:塐ϒꎰ:厨ϒ叠ϒꏘ:忘ϒ悰ϒꐀ:憈ϒנּϒ꟠;꣘;8ﰠϒ髈ϓ㥰ϔϔ盀ϕ倰ϖ조ϖϚ歸ϗ혨@珈:珈:珈:珈:珈:珈:珈:珈:珈:邹㔑篿ࠏ꠨Ϟᘀ8஠ϝ♬ϝ⑌ϝ犮ɢ䵣䪩骹ꀡ녨 ⬈ϝ馈Ϟ⊜ϝЉࠊȄЄ牐祯捥潴1̄潎浲污Ԅ桔獩潄畣敭瑮Ԇ"/>
        </w:smartTagPr>
        <w:r w:rsidRPr="009217A6">
          <w:rPr>
            <w:rFonts w:ascii="Arial" w:hAnsi="Arial" w:cs="Arial"/>
            <w:sz w:val="16"/>
          </w:rPr>
          <w:t>la Litigación</w:t>
        </w:r>
      </w:smartTag>
      <w:r w:rsidRPr="009217A6">
        <w:rPr>
          <w:rFonts w:ascii="Arial" w:hAnsi="Arial" w:cs="Arial"/>
          <w:sz w:val="16"/>
        </w:rPr>
        <w:t xml:space="preserve"> en Puerto Rico”,</w:t>
      </w:r>
      <w:r w:rsidRPr="009217A6">
        <w:rPr>
          <w:rFonts w:ascii="Arial" w:hAnsi="Arial" w:cs="Arial"/>
          <w:i/>
          <w:sz w:val="16"/>
        </w:rPr>
        <w:t xml:space="preserve"> </w:t>
      </w:r>
      <w:r w:rsidRPr="009217A6">
        <w:rPr>
          <w:rFonts w:ascii="Arial" w:hAnsi="Arial" w:cs="Arial"/>
          <w:sz w:val="16"/>
        </w:rPr>
        <w:t>MICHIE OF PUERTO RICO, San Juan, 1996, Pág. 51.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D7D27"/>
    <w:multiLevelType w:val="hybridMultilevel"/>
    <w:tmpl w:val="771277A8"/>
    <w:lvl w:ilvl="0" w:tplc="0C0A0017">
      <w:start w:val="1"/>
      <w:numFmt w:val="lowerLetter"/>
      <w:lvlText w:val="%1)"/>
      <w:lvlJc w:val="left"/>
      <w:pPr>
        <w:tabs>
          <w:tab w:val="num" w:pos="720"/>
        </w:tabs>
        <w:ind w:left="720" w:hanging="360"/>
      </w:pPr>
    </w:lvl>
    <w:lvl w:ilvl="1" w:tplc="C766207E">
      <w:start w:val="1"/>
      <w:numFmt w:val="decimal"/>
      <w:lvlText w:val="%2."/>
      <w:lvlJc w:val="left"/>
      <w:pPr>
        <w:tabs>
          <w:tab w:val="num" w:pos="1440"/>
        </w:tabs>
        <w:ind w:left="1440" w:hanging="360"/>
      </w:pPr>
      <w:rPr>
        <w:rFonts w:hint="default"/>
      </w:rPr>
    </w:lvl>
    <w:lvl w:ilvl="2" w:tplc="00A8A98A">
      <w:start w:val="2"/>
      <w:numFmt w:val="upp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29DF7DCD"/>
    <w:multiLevelType w:val="hybridMultilevel"/>
    <w:tmpl w:val="B3C894F2"/>
    <w:lvl w:ilvl="0" w:tplc="17C2C79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2ED2743C"/>
    <w:multiLevelType w:val="hybridMultilevel"/>
    <w:tmpl w:val="08A8841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42366624"/>
    <w:multiLevelType w:val="hybridMultilevel"/>
    <w:tmpl w:val="92240FF6"/>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E73516E"/>
    <w:multiLevelType w:val="hybridMultilevel"/>
    <w:tmpl w:val="556450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14D"/>
    <w:rsid w:val="00042DFC"/>
    <w:rsid w:val="00045C83"/>
    <w:rsid w:val="00045E6B"/>
    <w:rsid w:val="00047827"/>
    <w:rsid w:val="00052778"/>
    <w:rsid w:val="00056C5A"/>
    <w:rsid w:val="00061BCE"/>
    <w:rsid w:val="000655CD"/>
    <w:rsid w:val="000822DF"/>
    <w:rsid w:val="0008275C"/>
    <w:rsid w:val="00087657"/>
    <w:rsid w:val="00097413"/>
    <w:rsid w:val="000B6FA4"/>
    <w:rsid w:val="000C57F4"/>
    <w:rsid w:val="000D767F"/>
    <w:rsid w:val="000E26CA"/>
    <w:rsid w:val="000E4FEA"/>
    <w:rsid w:val="000F05F0"/>
    <w:rsid w:val="000F6A0A"/>
    <w:rsid w:val="00103B61"/>
    <w:rsid w:val="00110A1F"/>
    <w:rsid w:val="00117EB1"/>
    <w:rsid w:val="00144844"/>
    <w:rsid w:val="00154829"/>
    <w:rsid w:val="00161EF5"/>
    <w:rsid w:val="00171C11"/>
    <w:rsid w:val="001920F1"/>
    <w:rsid w:val="00197282"/>
    <w:rsid w:val="001B1CAF"/>
    <w:rsid w:val="001B37D2"/>
    <w:rsid w:val="001C05CC"/>
    <w:rsid w:val="001C7413"/>
    <w:rsid w:val="001E0B46"/>
    <w:rsid w:val="001F3157"/>
    <w:rsid w:val="001F7462"/>
    <w:rsid w:val="0020251D"/>
    <w:rsid w:val="00211EAF"/>
    <w:rsid w:val="00217198"/>
    <w:rsid w:val="00220540"/>
    <w:rsid w:val="00225ACF"/>
    <w:rsid w:val="0023110B"/>
    <w:rsid w:val="00231BDB"/>
    <w:rsid w:val="002358F2"/>
    <w:rsid w:val="002377BC"/>
    <w:rsid w:val="00250877"/>
    <w:rsid w:val="00252131"/>
    <w:rsid w:val="002605A7"/>
    <w:rsid w:val="00276B00"/>
    <w:rsid w:val="00277014"/>
    <w:rsid w:val="00292D26"/>
    <w:rsid w:val="002952A0"/>
    <w:rsid w:val="00295B5A"/>
    <w:rsid w:val="002A0DCC"/>
    <w:rsid w:val="002A6DF2"/>
    <w:rsid w:val="002B598D"/>
    <w:rsid w:val="002C0820"/>
    <w:rsid w:val="002C5D3D"/>
    <w:rsid w:val="002F1B74"/>
    <w:rsid w:val="00302C1F"/>
    <w:rsid w:val="0030412E"/>
    <w:rsid w:val="003215D1"/>
    <w:rsid w:val="003220A2"/>
    <w:rsid w:val="00331B70"/>
    <w:rsid w:val="003372EC"/>
    <w:rsid w:val="00342721"/>
    <w:rsid w:val="00344695"/>
    <w:rsid w:val="00355920"/>
    <w:rsid w:val="00363896"/>
    <w:rsid w:val="00365661"/>
    <w:rsid w:val="003844EE"/>
    <w:rsid w:val="0039002F"/>
    <w:rsid w:val="003908DA"/>
    <w:rsid w:val="003D1D1C"/>
    <w:rsid w:val="003F40D1"/>
    <w:rsid w:val="004141AB"/>
    <w:rsid w:val="00422CB9"/>
    <w:rsid w:val="00446F53"/>
    <w:rsid w:val="0047600D"/>
    <w:rsid w:val="00481692"/>
    <w:rsid w:val="00482F29"/>
    <w:rsid w:val="0048428E"/>
    <w:rsid w:val="00485A73"/>
    <w:rsid w:val="00493002"/>
    <w:rsid w:val="004A31D5"/>
    <w:rsid w:val="004B101C"/>
    <w:rsid w:val="004B4944"/>
    <w:rsid w:val="004B50E0"/>
    <w:rsid w:val="004D1751"/>
    <w:rsid w:val="004E4148"/>
    <w:rsid w:val="004F5B04"/>
    <w:rsid w:val="0052210C"/>
    <w:rsid w:val="0052568B"/>
    <w:rsid w:val="00536388"/>
    <w:rsid w:val="005529C7"/>
    <w:rsid w:val="00570AEC"/>
    <w:rsid w:val="005816A2"/>
    <w:rsid w:val="00590BB7"/>
    <w:rsid w:val="0059703E"/>
    <w:rsid w:val="005B1F84"/>
    <w:rsid w:val="005B247F"/>
    <w:rsid w:val="005B7639"/>
    <w:rsid w:val="005D24F9"/>
    <w:rsid w:val="005E0ACD"/>
    <w:rsid w:val="0061785A"/>
    <w:rsid w:val="00621665"/>
    <w:rsid w:val="006238CE"/>
    <w:rsid w:val="00640969"/>
    <w:rsid w:val="00651248"/>
    <w:rsid w:val="00655C3A"/>
    <w:rsid w:val="00673C87"/>
    <w:rsid w:val="00684F76"/>
    <w:rsid w:val="006F1432"/>
    <w:rsid w:val="007135AE"/>
    <w:rsid w:val="00714D6F"/>
    <w:rsid w:val="00741C1C"/>
    <w:rsid w:val="0077243B"/>
    <w:rsid w:val="007740BA"/>
    <w:rsid w:val="007947EA"/>
    <w:rsid w:val="007971AB"/>
    <w:rsid w:val="007A622C"/>
    <w:rsid w:val="007B2BD6"/>
    <w:rsid w:val="007C3400"/>
    <w:rsid w:val="007C43CE"/>
    <w:rsid w:val="0080053E"/>
    <w:rsid w:val="00813B28"/>
    <w:rsid w:val="008311C3"/>
    <w:rsid w:val="00835786"/>
    <w:rsid w:val="008370CC"/>
    <w:rsid w:val="00851231"/>
    <w:rsid w:val="0087613F"/>
    <w:rsid w:val="00882505"/>
    <w:rsid w:val="0088350A"/>
    <w:rsid w:val="008874DF"/>
    <w:rsid w:val="008A177E"/>
    <w:rsid w:val="008A707A"/>
    <w:rsid w:val="008C639D"/>
    <w:rsid w:val="008D015D"/>
    <w:rsid w:val="008F0D8A"/>
    <w:rsid w:val="0090346F"/>
    <w:rsid w:val="009167A0"/>
    <w:rsid w:val="009217A6"/>
    <w:rsid w:val="0093314D"/>
    <w:rsid w:val="00935BCA"/>
    <w:rsid w:val="009442AA"/>
    <w:rsid w:val="00947033"/>
    <w:rsid w:val="0095675E"/>
    <w:rsid w:val="00965180"/>
    <w:rsid w:val="009A3616"/>
    <w:rsid w:val="009A6874"/>
    <w:rsid w:val="009B29F7"/>
    <w:rsid w:val="009C21C9"/>
    <w:rsid w:val="009D2439"/>
    <w:rsid w:val="009F41F6"/>
    <w:rsid w:val="009F7FD9"/>
    <w:rsid w:val="00A0540B"/>
    <w:rsid w:val="00A10723"/>
    <w:rsid w:val="00A2666B"/>
    <w:rsid w:val="00A30AB2"/>
    <w:rsid w:val="00A51E94"/>
    <w:rsid w:val="00A623BC"/>
    <w:rsid w:val="00AF798F"/>
    <w:rsid w:val="00B03994"/>
    <w:rsid w:val="00B171FC"/>
    <w:rsid w:val="00B43ABF"/>
    <w:rsid w:val="00B71975"/>
    <w:rsid w:val="00B83038"/>
    <w:rsid w:val="00B901A6"/>
    <w:rsid w:val="00B96896"/>
    <w:rsid w:val="00BC120A"/>
    <w:rsid w:val="00BC5C5D"/>
    <w:rsid w:val="00BD08B6"/>
    <w:rsid w:val="00BF29A3"/>
    <w:rsid w:val="00C05C1C"/>
    <w:rsid w:val="00C14B78"/>
    <w:rsid w:val="00C16DCA"/>
    <w:rsid w:val="00C816D9"/>
    <w:rsid w:val="00C9252F"/>
    <w:rsid w:val="00C94ECC"/>
    <w:rsid w:val="00CA4116"/>
    <w:rsid w:val="00CA797A"/>
    <w:rsid w:val="00CB0615"/>
    <w:rsid w:val="00D004A2"/>
    <w:rsid w:val="00D16AE2"/>
    <w:rsid w:val="00D3175A"/>
    <w:rsid w:val="00D32F00"/>
    <w:rsid w:val="00D42550"/>
    <w:rsid w:val="00D5041A"/>
    <w:rsid w:val="00D506AE"/>
    <w:rsid w:val="00D55140"/>
    <w:rsid w:val="00DC6E32"/>
    <w:rsid w:val="00DC78BA"/>
    <w:rsid w:val="00DF05DC"/>
    <w:rsid w:val="00E055F6"/>
    <w:rsid w:val="00E61175"/>
    <w:rsid w:val="00E619D0"/>
    <w:rsid w:val="00E75ADA"/>
    <w:rsid w:val="00E8249B"/>
    <w:rsid w:val="00E90EBC"/>
    <w:rsid w:val="00E96247"/>
    <w:rsid w:val="00EA4E3A"/>
    <w:rsid w:val="00EB4E22"/>
    <w:rsid w:val="00EC2D1F"/>
    <w:rsid w:val="00EC410F"/>
    <w:rsid w:val="00EF48FF"/>
    <w:rsid w:val="00F1191D"/>
    <w:rsid w:val="00F176E1"/>
    <w:rsid w:val="00F352CD"/>
    <w:rsid w:val="00F5086D"/>
    <w:rsid w:val="00F62326"/>
    <w:rsid w:val="00F740AA"/>
    <w:rsid w:val="00F90188"/>
    <w:rsid w:val="00F9332E"/>
    <w:rsid w:val="00F934AF"/>
    <w:rsid w:val="00F95E3F"/>
    <w:rsid w:val="00FA084F"/>
    <w:rsid w:val="00FA129F"/>
    <w:rsid w:val="00FA7128"/>
    <w:rsid w:val="00FB398E"/>
    <w:rsid w:val="00FC53E3"/>
    <w:rsid w:val="00FC59E9"/>
    <w:rsid w:val="00FD3CD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14D"/>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93314D"/>
    <w:pPr>
      <w:keepNext/>
      <w:spacing w:line="360" w:lineRule="auto"/>
      <w:jc w:val="both"/>
      <w:outlineLvl w:val="0"/>
    </w:pPr>
    <w:rPr>
      <w:sz w:val="28"/>
      <w:lang w:val="es-ES"/>
    </w:rPr>
  </w:style>
  <w:style w:type="paragraph" w:styleId="Ttulo2">
    <w:name w:val="heading 2"/>
    <w:basedOn w:val="Normal"/>
    <w:next w:val="Normal"/>
    <w:link w:val="Ttulo2Car"/>
    <w:qFormat/>
    <w:rsid w:val="0093314D"/>
    <w:pPr>
      <w:keepNext/>
      <w:spacing w:before="240" w:after="60"/>
      <w:outlineLvl w:val="1"/>
    </w:pPr>
    <w:rPr>
      <w:rFonts w:ascii="Arial" w:hAnsi="Arial" w:cs="Arial"/>
      <w:b/>
      <w:bCs/>
      <w:i/>
      <w:iCs/>
      <w:sz w:val="28"/>
      <w:szCs w:val="28"/>
      <w:lang w:val="es-ES"/>
    </w:rPr>
  </w:style>
  <w:style w:type="paragraph" w:styleId="Ttulo3">
    <w:name w:val="heading 3"/>
    <w:basedOn w:val="Normal"/>
    <w:next w:val="Normal"/>
    <w:link w:val="Ttulo3Car"/>
    <w:qFormat/>
    <w:rsid w:val="0093314D"/>
    <w:pPr>
      <w:keepNext/>
      <w:spacing w:before="240" w:after="60"/>
      <w:outlineLvl w:val="2"/>
    </w:pPr>
    <w:rPr>
      <w:rFonts w:ascii="Arial" w:hAnsi="Arial" w:cs="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3314D"/>
    <w:rPr>
      <w:rFonts w:ascii="Times New Roman" w:eastAsia="Times New Roman" w:hAnsi="Times New Roman" w:cs="Times New Roman"/>
      <w:sz w:val="28"/>
      <w:szCs w:val="24"/>
      <w:lang w:val="es-ES" w:eastAsia="es-ES"/>
    </w:rPr>
  </w:style>
  <w:style w:type="character" w:customStyle="1" w:styleId="Ttulo2Car">
    <w:name w:val="Título 2 Car"/>
    <w:basedOn w:val="Fuentedeprrafopredeter"/>
    <w:link w:val="Ttulo2"/>
    <w:rsid w:val="0093314D"/>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93314D"/>
    <w:rPr>
      <w:rFonts w:ascii="Arial" w:eastAsia="Times New Roman" w:hAnsi="Arial" w:cs="Arial"/>
      <w:b/>
      <w:bCs/>
      <w:sz w:val="26"/>
      <w:szCs w:val="26"/>
      <w:lang w:val="es-ES" w:eastAsia="es-ES"/>
    </w:rPr>
  </w:style>
  <w:style w:type="paragraph" w:styleId="Piedepgina">
    <w:name w:val="footer"/>
    <w:basedOn w:val="Normal"/>
    <w:link w:val="PiedepginaCar"/>
    <w:rsid w:val="0093314D"/>
    <w:pPr>
      <w:tabs>
        <w:tab w:val="center" w:pos="4252"/>
        <w:tab w:val="right" w:pos="8504"/>
      </w:tabs>
    </w:pPr>
  </w:style>
  <w:style w:type="character" w:customStyle="1" w:styleId="PiedepginaCar">
    <w:name w:val="Pie de página Car"/>
    <w:basedOn w:val="Fuentedeprrafopredeter"/>
    <w:link w:val="Piedepgina"/>
    <w:rsid w:val="0093314D"/>
    <w:rPr>
      <w:rFonts w:ascii="Times New Roman" w:eastAsia="Times New Roman" w:hAnsi="Times New Roman" w:cs="Times New Roman"/>
      <w:sz w:val="24"/>
      <w:szCs w:val="24"/>
      <w:lang w:eastAsia="es-ES"/>
    </w:rPr>
  </w:style>
  <w:style w:type="character" w:styleId="Nmerodepgina">
    <w:name w:val="page number"/>
    <w:basedOn w:val="Fuentedeprrafopredeter"/>
    <w:rsid w:val="0093314D"/>
  </w:style>
  <w:style w:type="paragraph" w:styleId="Textonotapie">
    <w:name w:val="footnote text"/>
    <w:basedOn w:val="Normal"/>
    <w:link w:val="TextonotapieCar"/>
    <w:semiHidden/>
    <w:rsid w:val="0093314D"/>
    <w:rPr>
      <w:sz w:val="20"/>
      <w:szCs w:val="20"/>
    </w:rPr>
  </w:style>
  <w:style w:type="character" w:customStyle="1" w:styleId="TextonotapieCar">
    <w:name w:val="Texto nota pie Car"/>
    <w:basedOn w:val="Fuentedeprrafopredeter"/>
    <w:link w:val="Textonotapie"/>
    <w:semiHidden/>
    <w:rsid w:val="0093314D"/>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93314D"/>
    <w:rPr>
      <w:vertAlign w:val="superscript"/>
    </w:rPr>
  </w:style>
  <w:style w:type="paragraph" w:styleId="Encabezado">
    <w:name w:val="header"/>
    <w:basedOn w:val="Normal"/>
    <w:link w:val="EncabezadoCar"/>
    <w:rsid w:val="0093314D"/>
    <w:pPr>
      <w:tabs>
        <w:tab w:val="center" w:pos="4252"/>
        <w:tab w:val="right" w:pos="8504"/>
      </w:tabs>
    </w:pPr>
  </w:style>
  <w:style w:type="character" w:customStyle="1" w:styleId="EncabezadoCar">
    <w:name w:val="Encabezado Car"/>
    <w:basedOn w:val="Fuentedeprrafopredeter"/>
    <w:link w:val="Encabezado"/>
    <w:rsid w:val="0093314D"/>
    <w:rPr>
      <w:rFonts w:ascii="Times New Roman" w:eastAsia="Times New Roman" w:hAnsi="Times New Roman" w:cs="Times New Roman"/>
      <w:sz w:val="24"/>
      <w:szCs w:val="24"/>
      <w:lang w:eastAsia="es-ES"/>
    </w:rPr>
  </w:style>
  <w:style w:type="paragraph" w:styleId="NormalWeb">
    <w:name w:val="Normal (Web)"/>
    <w:basedOn w:val="Normal"/>
    <w:rsid w:val="0093314D"/>
    <w:pPr>
      <w:spacing w:before="100" w:beforeAutospacing="1" w:after="100" w:afterAutospacing="1"/>
    </w:pPr>
    <w:rPr>
      <w:color w:val="000000"/>
      <w:lang w:val="es-ES"/>
    </w:rPr>
  </w:style>
  <w:style w:type="paragraph" w:styleId="Sangradetextonormal">
    <w:name w:val="Body Text Indent"/>
    <w:basedOn w:val="Normal"/>
    <w:link w:val="SangradetextonormalCar"/>
    <w:rsid w:val="0093314D"/>
    <w:pPr>
      <w:spacing w:after="120"/>
      <w:ind w:left="283"/>
    </w:pPr>
    <w:rPr>
      <w:lang w:val="es-ES"/>
    </w:rPr>
  </w:style>
  <w:style w:type="character" w:customStyle="1" w:styleId="SangradetextonormalCar">
    <w:name w:val="Sangría de texto normal Car"/>
    <w:basedOn w:val="Fuentedeprrafopredeter"/>
    <w:link w:val="Sangradetextonormal"/>
    <w:rsid w:val="0093314D"/>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93314D"/>
    <w:pPr>
      <w:ind w:firstLine="720"/>
      <w:jc w:val="both"/>
    </w:pPr>
    <w:rPr>
      <w:rFonts w:ascii="Arial Narrow" w:hAnsi="Arial Narrow"/>
      <w:lang w:val="es-ES"/>
    </w:rPr>
  </w:style>
  <w:style w:type="character" w:customStyle="1" w:styleId="Sangra2detindependienteCar">
    <w:name w:val="Sangría 2 de t. independiente Car"/>
    <w:basedOn w:val="Fuentedeprrafopredeter"/>
    <w:link w:val="Sangra2detindependiente"/>
    <w:rsid w:val="0093314D"/>
    <w:rPr>
      <w:rFonts w:ascii="Arial Narrow" w:eastAsia="Times New Roman" w:hAnsi="Arial Narrow" w:cs="Times New Roman"/>
      <w:sz w:val="24"/>
      <w:szCs w:val="24"/>
      <w:lang w:val="es-ES" w:eastAsia="es-ES"/>
    </w:rPr>
  </w:style>
  <w:style w:type="paragraph" w:styleId="Sangra3detindependiente">
    <w:name w:val="Body Text Indent 3"/>
    <w:basedOn w:val="Normal"/>
    <w:link w:val="Sangra3detindependienteCar"/>
    <w:rsid w:val="0093314D"/>
    <w:pPr>
      <w:ind w:firstLine="708"/>
      <w:jc w:val="both"/>
    </w:pPr>
    <w:rPr>
      <w:rFonts w:ascii="Arial Narrow" w:hAnsi="Arial Narrow"/>
      <w:lang w:val="es-ES"/>
    </w:rPr>
  </w:style>
  <w:style w:type="character" w:customStyle="1" w:styleId="Sangra3detindependienteCar">
    <w:name w:val="Sangría 3 de t. independiente Car"/>
    <w:basedOn w:val="Fuentedeprrafopredeter"/>
    <w:link w:val="Sangra3detindependiente"/>
    <w:rsid w:val="0093314D"/>
    <w:rPr>
      <w:rFonts w:ascii="Arial Narrow" w:eastAsia="Times New Roman" w:hAnsi="Arial Narrow" w:cs="Times New Roman"/>
      <w:sz w:val="24"/>
      <w:szCs w:val="24"/>
      <w:lang w:val="es-ES" w:eastAsia="es-ES"/>
    </w:rPr>
  </w:style>
  <w:style w:type="paragraph" w:styleId="TDC1">
    <w:name w:val="toc 1"/>
    <w:basedOn w:val="Normal"/>
    <w:next w:val="Normal"/>
    <w:autoRedefine/>
    <w:semiHidden/>
    <w:rsid w:val="0093314D"/>
    <w:pPr>
      <w:tabs>
        <w:tab w:val="right" w:leader="dot" w:pos="9396"/>
      </w:tabs>
      <w:spacing w:before="120" w:after="120" w:line="360" w:lineRule="auto"/>
      <w:jc w:val="center"/>
    </w:pPr>
    <w:rPr>
      <w:rFonts w:ascii="Arial" w:hAnsi="Arial" w:cs="Arial"/>
      <w:b/>
      <w:bCs/>
      <w:caps/>
      <w:noProof/>
      <w:u w:val="single"/>
      <w:lang w:val="es-MX"/>
    </w:rPr>
  </w:style>
  <w:style w:type="character" w:styleId="Hipervnculo">
    <w:name w:val="Hyperlink"/>
    <w:basedOn w:val="Fuentedeprrafopredeter"/>
    <w:rsid w:val="0093314D"/>
    <w:rPr>
      <w:color w:val="0000FF"/>
      <w:u w:val="single"/>
    </w:rPr>
  </w:style>
  <w:style w:type="paragraph" w:styleId="TDC2">
    <w:name w:val="toc 2"/>
    <w:basedOn w:val="Normal"/>
    <w:next w:val="Normal"/>
    <w:autoRedefine/>
    <w:semiHidden/>
    <w:rsid w:val="0093314D"/>
    <w:pPr>
      <w:tabs>
        <w:tab w:val="right" w:leader="dot" w:pos="9396"/>
      </w:tabs>
      <w:ind w:left="240"/>
      <w:jc w:val="center"/>
    </w:pPr>
    <w:rPr>
      <w:smallCaps/>
      <w:sz w:val="20"/>
      <w:szCs w:val="20"/>
    </w:rPr>
  </w:style>
  <w:style w:type="paragraph" w:styleId="TDC3">
    <w:name w:val="toc 3"/>
    <w:basedOn w:val="Normal"/>
    <w:next w:val="Normal"/>
    <w:autoRedefine/>
    <w:semiHidden/>
    <w:rsid w:val="0093314D"/>
    <w:pPr>
      <w:tabs>
        <w:tab w:val="right" w:leader="dot" w:pos="9396"/>
      </w:tabs>
      <w:ind w:left="480"/>
    </w:pPr>
    <w:rPr>
      <w:b/>
      <w:i/>
      <w:iCs/>
      <w:noProof/>
      <w:sz w:val="20"/>
      <w:szCs w:val="20"/>
    </w:rPr>
  </w:style>
  <w:style w:type="paragraph" w:styleId="TDC4">
    <w:name w:val="toc 4"/>
    <w:basedOn w:val="Normal"/>
    <w:next w:val="Normal"/>
    <w:autoRedefine/>
    <w:semiHidden/>
    <w:rsid w:val="0093314D"/>
    <w:pPr>
      <w:ind w:left="720"/>
    </w:pPr>
    <w:rPr>
      <w:sz w:val="18"/>
      <w:szCs w:val="18"/>
    </w:rPr>
  </w:style>
  <w:style w:type="paragraph" w:styleId="TDC5">
    <w:name w:val="toc 5"/>
    <w:basedOn w:val="Normal"/>
    <w:next w:val="Normal"/>
    <w:autoRedefine/>
    <w:semiHidden/>
    <w:rsid w:val="0093314D"/>
    <w:pPr>
      <w:ind w:left="960"/>
    </w:pPr>
    <w:rPr>
      <w:sz w:val="18"/>
      <w:szCs w:val="18"/>
    </w:rPr>
  </w:style>
  <w:style w:type="paragraph" w:styleId="TDC6">
    <w:name w:val="toc 6"/>
    <w:basedOn w:val="Normal"/>
    <w:next w:val="Normal"/>
    <w:autoRedefine/>
    <w:semiHidden/>
    <w:rsid w:val="0093314D"/>
    <w:pPr>
      <w:ind w:left="1200"/>
    </w:pPr>
    <w:rPr>
      <w:sz w:val="18"/>
      <w:szCs w:val="18"/>
    </w:rPr>
  </w:style>
  <w:style w:type="paragraph" w:styleId="TDC7">
    <w:name w:val="toc 7"/>
    <w:basedOn w:val="Normal"/>
    <w:next w:val="Normal"/>
    <w:autoRedefine/>
    <w:semiHidden/>
    <w:rsid w:val="0093314D"/>
    <w:pPr>
      <w:ind w:left="1440"/>
    </w:pPr>
    <w:rPr>
      <w:sz w:val="18"/>
      <w:szCs w:val="18"/>
    </w:rPr>
  </w:style>
  <w:style w:type="paragraph" w:styleId="TDC8">
    <w:name w:val="toc 8"/>
    <w:basedOn w:val="Normal"/>
    <w:next w:val="Normal"/>
    <w:autoRedefine/>
    <w:semiHidden/>
    <w:rsid w:val="0093314D"/>
    <w:pPr>
      <w:ind w:left="1680"/>
    </w:pPr>
    <w:rPr>
      <w:sz w:val="18"/>
      <w:szCs w:val="18"/>
    </w:rPr>
  </w:style>
  <w:style w:type="paragraph" w:styleId="TDC9">
    <w:name w:val="toc 9"/>
    <w:basedOn w:val="Normal"/>
    <w:next w:val="Normal"/>
    <w:autoRedefine/>
    <w:semiHidden/>
    <w:rsid w:val="0093314D"/>
    <w:pPr>
      <w:ind w:left="1920"/>
    </w:pPr>
    <w:rPr>
      <w:sz w:val="18"/>
      <w:szCs w:val="18"/>
    </w:rPr>
  </w:style>
  <w:style w:type="paragraph" w:styleId="Textodeglobo">
    <w:name w:val="Balloon Text"/>
    <w:basedOn w:val="Normal"/>
    <w:link w:val="TextodegloboCar"/>
    <w:semiHidden/>
    <w:rsid w:val="0093314D"/>
    <w:rPr>
      <w:rFonts w:ascii="Tahoma" w:hAnsi="Tahoma" w:cs="Tahoma"/>
      <w:sz w:val="16"/>
      <w:szCs w:val="16"/>
    </w:rPr>
  </w:style>
  <w:style w:type="character" w:customStyle="1" w:styleId="TextodegloboCar">
    <w:name w:val="Texto de globo Car"/>
    <w:basedOn w:val="Fuentedeprrafopredeter"/>
    <w:link w:val="Textodeglobo"/>
    <w:semiHidden/>
    <w:rsid w:val="0093314D"/>
    <w:rPr>
      <w:rFonts w:ascii="Tahoma" w:eastAsia="Times New Roman" w:hAnsi="Tahoma" w:cs="Tahoma"/>
      <w:sz w:val="16"/>
      <w:szCs w:val="16"/>
      <w:lang w:eastAsia="es-ES"/>
    </w:rPr>
  </w:style>
  <w:style w:type="character" w:customStyle="1" w:styleId="CarCar3">
    <w:name w:val="Car Car3"/>
    <w:basedOn w:val="Fuentedeprrafopredeter"/>
    <w:rsid w:val="0093314D"/>
    <w:rPr>
      <w:sz w:val="28"/>
      <w:szCs w:val="24"/>
      <w:lang w:val="es-ES" w:eastAsia="es-ES" w:bidi="ar-SA"/>
    </w:rPr>
  </w:style>
  <w:style w:type="character" w:customStyle="1" w:styleId="CarCar2">
    <w:name w:val="Car Car2"/>
    <w:basedOn w:val="Fuentedeprrafopredeter"/>
    <w:rsid w:val="0093314D"/>
    <w:rPr>
      <w:rFonts w:ascii="Arial" w:hAnsi="Arial" w:cs="Arial"/>
      <w:b/>
      <w:bCs/>
      <w:i/>
      <w:iCs/>
      <w:sz w:val="28"/>
      <w:szCs w:val="28"/>
      <w:lang w:val="es-ES" w:eastAsia="es-ES" w:bidi="ar-SA"/>
    </w:rPr>
  </w:style>
  <w:style w:type="character" w:customStyle="1" w:styleId="CarCar1">
    <w:name w:val="Car Car1"/>
    <w:basedOn w:val="Fuentedeprrafopredeter"/>
    <w:rsid w:val="0093314D"/>
    <w:rPr>
      <w:rFonts w:ascii="Arial" w:hAnsi="Arial" w:cs="Arial"/>
      <w:b/>
      <w:bCs/>
      <w:sz w:val="26"/>
      <w:szCs w:val="26"/>
      <w:lang w:val="es-ES" w:eastAsia="es-ES" w:bidi="ar-SA"/>
    </w:rPr>
  </w:style>
  <w:style w:type="table" w:styleId="Tablaconcuadrcula">
    <w:name w:val="Table Grid"/>
    <w:basedOn w:val="Tablanormal"/>
    <w:rsid w:val="0093314D"/>
    <w:pPr>
      <w:spacing w:after="0" w:line="240" w:lineRule="auto"/>
    </w:pPr>
    <w:rPr>
      <w:rFonts w:ascii="Times New Roman" w:eastAsia="Times New Roman" w:hAnsi="Times New Roman" w:cs="Times New Roman"/>
      <w:sz w:val="20"/>
      <w:szCs w:val="20"/>
      <w:lang w:eastAsia="es-S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93314D"/>
    <w:pPr>
      <w:spacing w:after="120"/>
    </w:pPr>
  </w:style>
  <w:style w:type="character" w:customStyle="1" w:styleId="TextoindependienteCar">
    <w:name w:val="Texto independiente Car"/>
    <w:basedOn w:val="Fuentedeprrafopredeter"/>
    <w:link w:val="Textoindependiente"/>
    <w:rsid w:val="0093314D"/>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93314D"/>
    <w:pPr>
      <w:spacing w:after="120" w:line="480" w:lineRule="auto"/>
    </w:pPr>
  </w:style>
  <w:style w:type="character" w:customStyle="1" w:styleId="Textoindependiente2Car">
    <w:name w:val="Texto independiente 2 Car"/>
    <w:basedOn w:val="Fuentedeprrafopredeter"/>
    <w:link w:val="Textoindependiente2"/>
    <w:rsid w:val="0093314D"/>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93314D"/>
    <w:pPr>
      <w:spacing w:after="120"/>
    </w:pPr>
    <w:rPr>
      <w:sz w:val="16"/>
      <w:szCs w:val="16"/>
    </w:rPr>
  </w:style>
  <w:style w:type="character" w:customStyle="1" w:styleId="Textoindependiente3Car">
    <w:name w:val="Texto independiente 3 Car"/>
    <w:basedOn w:val="Fuentedeprrafopredeter"/>
    <w:link w:val="Textoindependiente3"/>
    <w:rsid w:val="0093314D"/>
    <w:rPr>
      <w:rFonts w:ascii="Times New Roman" w:eastAsia="Times New Roman" w:hAnsi="Times New Roman" w:cs="Times New Roman"/>
      <w:sz w:val="16"/>
      <w:szCs w:val="16"/>
      <w:lang w:eastAsia="es-ES"/>
    </w:rPr>
  </w:style>
  <w:style w:type="paragraph" w:customStyle="1" w:styleId="Blockquote">
    <w:name w:val="Blockquote"/>
    <w:basedOn w:val="Normal"/>
    <w:rsid w:val="0093314D"/>
    <w:pPr>
      <w:spacing w:before="100" w:after="100"/>
      <w:ind w:left="360" w:right="360"/>
    </w:pPr>
    <w:rPr>
      <w:snapToGrid w:val="0"/>
      <w:szCs w:val="20"/>
      <w:lang w:val="es-PE"/>
    </w:rPr>
  </w:style>
  <w:style w:type="paragraph" w:styleId="Textonotaalfinal">
    <w:name w:val="endnote text"/>
    <w:basedOn w:val="Normal"/>
    <w:link w:val="TextonotaalfinalCar"/>
    <w:semiHidden/>
    <w:rsid w:val="0093314D"/>
    <w:rPr>
      <w:sz w:val="20"/>
      <w:szCs w:val="20"/>
    </w:rPr>
  </w:style>
  <w:style w:type="character" w:customStyle="1" w:styleId="TextonotaalfinalCar">
    <w:name w:val="Texto nota al final Car"/>
    <w:basedOn w:val="Fuentedeprrafopredeter"/>
    <w:link w:val="Textonotaalfinal"/>
    <w:semiHidden/>
    <w:rsid w:val="0093314D"/>
    <w:rPr>
      <w:rFonts w:ascii="Times New Roman" w:eastAsia="Times New Roman" w:hAnsi="Times New Roman" w:cs="Times New Roman"/>
      <w:sz w:val="20"/>
      <w:szCs w:val="20"/>
      <w:lang w:eastAsia="es-ES"/>
    </w:rPr>
  </w:style>
  <w:style w:type="paragraph" w:styleId="Ttulo">
    <w:name w:val="Title"/>
    <w:link w:val="TtuloCar"/>
    <w:qFormat/>
    <w:rsid w:val="0093314D"/>
    <w:pPr>
      <w:spacing w:after="0" w:line="240" w:lineRule="auto"/>
    </w:pPr>
    <w:rPr>
      <w:rFonts w:ascii="Garamond" w:eastAsia="Times New Roman" w:hAnsi="Garamond" w:cs="Times New Roman"/>
      <w:color w:val="FFFFFF"/>
      <w:kern w:val="28"/>
      <w:sz w:val="104"/>
      <w:szCs w:val="104"/>
      <w:lang w:val="es-ES" w:eastAsia="es-ES"/>
    </w:rPr>
  </w:style>
  <w:style w:type="character" w:customStyle="1" w:styleId="TtuloCar">
    <w:name w:val="Título Car"/>
    <w:basedOn w:val="Fuentedeprrafopredeter"/>
    <w:link w:val="Ttulo"/>
    <w:rsid w:val="0093314D"/>
    <w:rPr>
      <w:rFonts w:ascii="Garamond" w:eastAsia="Times New Roman" w:hAnsi="Garamond" w:cs="Times New Roman"/>
      <w:color w:val="FFFFFF"/>
      <w:kern w:val="28"/>
      <w:sz w:val="104"/>
      <w:szCs w:val="104"/>
      <w:lang w:val="es-ES" w:eastAsia="es-ES"/>
    </w:rPr>
  </w:style>
  <w:style w:type="paragraph" w:customStyle="1" w:styleId="msoorganizationname">
    <w:name w:val="msoorganizationname"/>
    <w:rsid w:val="0093314D"/>
    <w:pPr>
      <w:spacing w:after="0" w:line="240" w:lineRule="auto"/>
      <w:jc w:val="center"/>
    </w:pPr>
    <w:rPr>
      <w:rFonts w:ascii="Garamond" w:eastAsia="Times New Roman" w:hAnsi="Garamond" w:cs="Times New Roman"/>
      <w:b/>
      <w:bCs/>
      <w:smallCaps/>
      <w:color w:val="000000"/>
      <w:kern w:val="28"/>
      <w:sz w:val="36"/>
      <w:szCs w:val="3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14D"/>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93314D"/>
    <w:pPr>
      <w:keepNext/>
      <w:spacing w:line="360" w:lineRule="auto"/>
      <w:jc w:val="both"/>
      <w:outlineLvl w:val="0"/>
    </w:pPr>
    <w:rPr>
      <w:sz w:val="28"/>
      <w:lang w:val="es-ES"/>
    </w:rPr>
  </w:style>
  <w:style w:type="paragraph" w:styleId="Ttulo2">
    <w:name w:val="heading 2"/>
    <w:basedOn w:val="Normal"/>
    <w:next w:val="Normal"/>
    <w:link w:val="Ttulo2Car"/>
    <w:qFormat/>
    <w:rsid w:val="0093314D"/>
    <w:pPr>
      <w:keepNext/>
      <w:spacing w:before="240" w:after="60"/>
      <w:outlineLvl w:val="1"/>
    </w:pPr>
    <w:rPr>
      <w:rFonts w:ascii="Arial" w:hAnsi="Arial" w:cs="Arial"/>
      <w:b/>
      <w:bCs/>
      <w:i/>
      <w:iCs/>
      <w:sz w:val="28"/>
      <w:szCs w:val="28"/>
      <w:lang w:val="es-ES"/>
    </w:rPr>
  </w:style>
  <w:style w:type="paragraph" w:styleId="Ttulo3">
    <w:name w:val="heading 3"/>
    <w:basedOn w:val="Normal"/>
    <w:next w:val="Normal"/>
    <w:link w:val="Ttulo3Car"/>
    <w:qFormat/>
    <w:rsid w:val="0093314D"/>
    <w:pPr>
      <w:keepNext/>
      <w:spacing w:before="240" w:after="60"/>
      <w:outlineLvl w:val="2"/>
    </w:pPr>
    <w:rPr>
      <w:rFonts w:ascii="Arial" w:hAnsi="Arial" w:cs="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3314D"/>
    <w:rPr>
      <w:rFonts w:ascii="Times New Roman" w:eastAsia="Times New Roman" w:hAnsi="Times New Roman" w:cs="Times New Roman"/>
      <w:sz w:val="28"/>
      <w:szCs w:val="24"/>
      <w:lang w:val="es-ES" w:eastAsia="es-ES"/>
    </w:rPr>
  </w:style>
  <w:style w:type="character" w:customStyle="1" w:styleId="Ttulo2Car">
    <w:name w:val="Título 2 Car"/>
    <w:basedOn w:val="Fuentedeprrafopredeter"/>
    <w:link w:val="Ttulo2"/>
    <w:rsid w:val="0093314D"/>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93314D"/>
    <w:rPr>
      <w:rFonts w:ascii="Arial" w:eastAsia="Times New Roman" w:hAnsi="Arial" w:cs="Arial"/>
      <w:b/>
      <w:bCs/>
      <w:sz w:val="26"/>
      <w:szCs w:val="26"/>
      <w:lang w:val="es-ES" w:eastAsia="es-ES"/>
    </w:rPr>
  </w:style>
  <w:style w:type="paragraph" w:styleId="Piedepgina">
    <w:name w:val="footer"/>
    <w:basedOn w:val="Normal"/>
    <w:link w:val="PiedepginaCar"/>
    <w:rsid w:val="0093314D"/>
    <w:pPr>
      <w:tabs>
        <w:tab w:val="center" w:pos="4252"/>
        <w:tab w:val="right" w:pos="8504"/>
      </w:tabs>
    </w:pPr>
  </w:style>
  <w:style w:type="character" w:customStyle="1" w:styleId="PiedepginaCar">
    <w:name w:val="Pie de página Car"/>
    <w:basedOn w:val="Fuentedeprrafopredeter"/>
    <w:link w:val="Piedepgina"/>
    <w:rsid w:val="0093314D"/>
    <w:rPr>
      <w:rFonts w:ascii="Times New Roman" w:eastAsia="Times New Roman" w:hAnsi="Times New Roman" w:cs="Times New Roman"/>
      <w:sz w:val="24"/>
      <w:szCs w:val="24"/>
      <w:lang w:eastAsia="es-ES"/>
    </w:rPr>
  </w:style>
  <w:style w:type="character" w:styleId="Nmerodepgina">
    <w:name w:val="page number"/>
    <w:basedOn w:val="Fuentedeprrafopredeter"/>
    <w:rsid w:val="0093314D"/>
  </w:style>
  <w:style w:type="paragraph" w:styleId="Textonotapie">
    <w:name w:val="footnote text"/>
    <w:basedOn w:val="Normal"/>
    <w:link w:val="TextonotapieCar"/>
    <w:semiHidden/>
    <w:rsid w:val="0093314D"/>
    <w:rPr>
      <w:sz w:val="20"/>
      <w:szCs w:val="20"/>
    </w:rPr>
  </w:style>
  <w:style w:type="character" w:customStyle="1" w:styleId="TextonotapieCar">
    <w:name w:val="Texto nota pie Car"/>
    <w:basedOn w:val="Fuentedeprrafopredeter"/>
    <w:link w:val="Textonotapie"/>
    <w:semiHidden/>
    <w:rsid w:val="0093314D"/>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93314D"/>
    <w:rPr>
      <w:vertAlign w:val="superscript"/>
    </w:rPr>
  </w:style>
  <w:style w:type="paragraph" w:styleId="Encabezado">
    <w:name w:val="header"/>
    <w:basedOn w:val="Normal"/>
    <w:link w:val="EncabezadoCar"/>
    <w:rsid w:val="0093314D"/>
    <w:pPr>
      <w:tabs>
        <w:tab w:val="center" w:pos="4252"/>
        <w:tab w:val="right" w:pos="8504"/>
      </w:tabs>
    </w:pPr>
  </w:style>
  <w:style w:type="character" w:customStyle="1" w:styleId="EncabezadoCar">
    <w:name w:val="Encabezado Car"/>
    <w:basedOn w:val="Fuentedeprrafopredeter"/>
    <w:link w:val="Encabezado"/>
    <w:rsid w:val="0093314D"/>
    <w:rPr>
      <w:rFonts w:ascii="Times New Roman" w:eastAsia="Times New Roman" w:hAnsi="Times New Roman" w:cs="Times New Roman"/>
      <w:sz w:val="24"/>
      <w:szCs w:val="24"/>
      <w:lang w:eastAsia="es-ES"/>
    </w:rPr>
  </w:style>
  <w:style w:type="paragraph" w:styleId="NormalWeb">
    <w:name w:val="Normal (Web)"/>
    <w:basedOn w:val="Normal"/>
    <w:rsid w:val="0093314D"/>
    <w:pPr>
      <w:spacing w:before="100" w:beforeAutospacing="1" w:after="100" w:afterAutospacing="1"/>
    </w:pPr>
    <w:rPr>
      <w:color w:val="000000"/>
      <w:lang w:val="es-ES"/>
    </w:rPr>
  </w:style>
  <w:style w:type="paragraph" w:styleId="Sangradetextonormal">
    <w:name w:val="Body Text Indent"/>
    <w:basedOn w:val="Normal"/>
    <w:link w:val="SangradetextonormalCar"/>
    <w:rsid w:val="0093314D"/>
    <w:pPr>
      <w:spacing w:after="120"/>
      <w:ind w:left="283"/>
    </w:pPr>
    <w:rPr>
      <w:lang w:val="es-ES"/>
    </w:rPr>
  </w:style>
  <w:style w:type="character" w:customStyle="1" w:styleId="SangradetextonormalCar">
    <w:name w:val="Sangría de texto normal Car"/>
    <w:basedOn w:val="Fuentedeprrafopredeter"/>
    <w:link w:val="Sangradetextonormal"/>
    <w:rsid w:val="0093314D"/>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93314D"/>
    <w:pPr>
      <w:ind w:firstLine="720"/>
      <w:jc w:val="both"/>
    </w:pPr>
    <w:rPr>
      <w:rFonts w:ascii="Arial Narrow" w:hAnsi="Arial Narrow"/>
      <w:lang w:val="es-ES"/>
    </w:rPr>
  </w:style>
  <w:style w:type="character" w:customStyle="1" w:styleId="Sangra2detindependienteCar">
    <w:name w:val="Sangría 2 de t. independiente Car"/>
    <w:basedOn w:val="Fuentedeprrafopredeter"/>
    <w:link w:val="Sangra2detindependiente"/>
    <w:rsid w:val="0093314D"/>
    <w:rPr>
      <w:rFonts w:ascii="Arial Narrow" w:eastAsia="Times New Roman" w:hAnsi="Arial Narrow" w:cs="Times New Roman"/>
      <w:sz w:val="24"/>
      <w:szCs w:val="24"/>
      <w:lang w:val="es-ES" w:eastAsia="es-ES"/>
    </w:rPr>
  </w:style>
  <w:style w:type="paragraph" w:styleId="Sangra3detindependiente">
    <w:name w:val="Body Text Indent 3"/>
    <w:basedOn w:val="Normal"/>
    <w:link w:val="Sangra3detindependienteCar"/>
    <w:rsid w:val="0093314D"/>
    <w:pPr>
      <w:ind w:firstLine="708"/>
      <w:jc w:val="both"/>
    </w:pPr>
    <w:rPr>
      <w:rFonts w:ascii="Arial Narrow" w:hAnsi="Arial Narrow"/>
      <w:lang w:val="es-ES"/>
    </w:rPr>
  </w:style>
  <w:style w:type="character" w:customStyle="1" w:styleId="Sangra3detindependienteCar">
    <w:name w:val="Sangría 3 de t. independiente Car"/>
    <w:basedOn w:val="Fuentedeprrafopredeter"/>
    <w:link w:val="Sangra3detindependiente"/>
    <w:rsid w:val="0093314D"/>
    <w:rPr>
      <w:rFonts w:ascii="Arial Narrow" w:eastAsia="Times New Roman" w:hAnsi="Arial Narrow" w:cs="Times New Roman"/>
      <w:sz w:val="24"/>
      <w:szCs w:val="24"/>
      <w:lang w:val="es-ES" w:eastAsia="es-ES"/>
    </w:rPr>
  </w:style>
  <w:style w:type="paragraph" w:styleId="TDC1">
    <w:name w:val="toc 1"/>
    <w:basedOn w:val="Normal"/>
    <w:next w:val="Normal"/>
    <w:autoRedefine/>
    <w:semiHidden/>
    <w:rsid w:val="0093314D"/>
    <w:pPr>
      <w:tabs>
        <w:tab w:val="right" w:leader="dot" w:pos="9396"/>
      </w:tabs>
      <w:spacing w:before="120" w:after="120" w:line="360" w:lineRule="auto"/>
      <w:jc w:val="center"/>
    </w:pPr>
    <w:rPr>
      <w:rFonts w:ascii="Arial" w:hAnsi="Arial" w:cs="Arial"/>
      <w:b/>
      <w:bCs/>
      <w:caps/>
      <w:noProof/>
      <w:u w:val="single"/>
      <w:lang w:val="es-MX"/>
    </w:rPr>
  </w:style>
  <w:style w:type="character" w:styleId="Hipervnculo">
    <w:name w:val="Hyperlink"/>
    <w:basedOn w:val="Fuentedeprrafopredeter"/>
    <w:rsid w:val="0093314D"/>
    <w:rPr>
      <w:color w:val="0000FF"/>
      <w:u w:val="single"/>
    </w:rPr>
  </w:style>
  <w:style w:type="paragraph" w:styleId="TDC2">
    <w:name w:val="toc 2"/>
    <w:basedOn w:val="Normal"/>
    <w:next w:val="Normal"/>
    <w:autoRedefine/>
    <w:semiHidden/>
    <w:rsid w:val="0093314D"/>
    <w:pPr>
      <w:tabs>
        <w:tab w:val="right" w:leader="dot" w:pos="9396"/>
      </w:tabs>
      <w:ind w:left="240"/>
      <w:jc w:val="center"/>
    </w:pPr>
    <w:rPr>
      <w:smallCaps/>
      <w:sz w:val="20"/>
      <w:szCs w:val="20"/>
    </w:rPr>
  </w:style>
  <w:style w:type="paragraph" w:styleId="TDC3">
    <w:name w:val="toc 3"/>
    <w:basedOn w:val="Normal"/>
    <w:next w:val="Normal"/>
    <w:autoRedefine/>
    <w:semiHidden/>
    <w:rsid w:val="0093314D"/>
    <w:pPr>
      <w:tabs>
        <w:tab w:val="right" w:leader="dot" w:pos="9396"/>
      </w:tabs>
      <w:ind w:left="480"/>
    </w:pPr>
    <w:rPr>
      <w:b/>
      <w:i/>
      <w:iCs/>
      <w:noProof/>
      <w:sz w:val="20"/>
      <w:szCs w:val="20"/>
    </w:rPr>
  </w:style>
  <w:style w:type="paragraph" w:styleId="TDC4">
    <w:name w:val="toc 4"/>
    <w:basedOn w:val="Normal"/>
    <w:next w:val="Normal"/>
    <w:autoRedefine/>
    <w:semiHidden/>
    <w:rsid w:val="0093314D"/>
    <w:pPr>
      <w:ind w:left="720"/>
    </w:pPr>
    <w:rPr>
      <w:sz w:val="18"/>
      <w:szCs w:val="18"/>
    </w:rPr>
  </w:style>
  <w:style w:type="paragraph" w:styleId="TDC5">
    <w:name w:val="toc 5"/>
    <w:basedOn w:val="Normal"/>
    <w:next w:val="Normal"/>
    <w:autoRedefine/>
    <w:semiHidden/>
    <w:rsid w:val="0093314D"/>
    <w:pPr>
      <w:ind w:left="960"/>
    </w:pPr>
    <w:rPr>
      <w:sz w:val="18"/>
      <w:szCs w:val="18"/>
    </w:rPr>
  </w:style>
  <w:style w:type="paragraph" w:styleId="TDC6">
    <w:name w:val="toc 6"/>
    <w:basedOn w:val="Normal"/>
    <w:next w:val="Normal"/>
    <w:autoRedefine/>
    <w:semiHidden/>
    <w:rsid w:val="0093314D"/>
    <w:pPr>
      <w:ind w:left="1200"/>
    </w:pPr>
    <w:rPr>
      <w:sz w:val="18"/>
      <w:szCs w:val="18"/>
    </w:rPr>
  </w:style>
  <w:style w:type="paragraph" w:styleId="TDC7">
    <w:name w:val="toc 7"/>
    <w:basedOn w:val="Normal"/>
    <w:next w:val="Normal"/>
    <w:autoRedefine/>
    <w:semiHidden/>
    <w:rsid w:val="0093314D"/>
    <w:pPr>
      <w:ind w:left="1440"/>
    </w:pPr>
    <w:rPr>
      <w:sz w:val="18"/>
      <w:szCs w:val="18"/>
    </w:rPr>
  </w:style>
  <w:style w:type="paragraph" w:styleId="TDC8">
    <w:name w:val="toc 8"/>
    <w:basedOn w:val="Normal"/>
    <w:next w:val="Normal"/>
    <w:autoRedefine/>
    <w:semiHidden/>
    <w:rsid w:val="0093314D"/>
    <w:pPr>
      <w:ind w:left="1680"/>
    </w:pPr>
    <w:rPr>
      <w:sz w:val="18"/>
      <w:szCs w:val="18"/>
    </w:rPr>
  </w:style>
  <w:style w:type="paragraph" w:styleId="TDC9">
    <w:name w:val="toc 9"/>
    <w:basedOn w:val="Normal"/>
    <w:next w:val="Normal"/>
    <w:autoRedefine/>
    <w:semiHidden/>
    <w:rsid w:val="0093314D"/>
    <w:pPr>
      <w:ind w:left="1920"/>
    </w:pPr>
    <w:rPr>
      <w:sz w:val="18"/>
      <w:szCs w:val="18"/>
    </w:rPr>
  </w:style>
  <w:style w:type="paragraph" w:styleId="Textodeglobo">
    <w:name w:val="Balloon Text"/>
    <w:basedOn w:val="Normal"/>
    <w:link w:val="TextodegloboCar"/>
    <w:semiHidden/>
    <w:rsid w:val="0093314D"/>
    <w:rPr>
      <w:rFonts w:ascii="Tahoma" w:hAnsi="Tahoma" w:cs="Tahoma"/>
      <w:sz w:val="16"/>
      <w:szCs w:val="16"/>
    </w:rPr>
  </w:style>
  <w:style w:type="character" w:customStyle="1" w:styleId="TextodegloboCar">
    <w:name w:val="Texto de globo Car"/>
    <w:basedOn w:val="Fuentedeprrafopredeter"/>
    <w:link w:val="Textodeglobo"/>
    <w:semiHidden/>
    <w:rsid w:val="0093314D"/>
    <w:rPr>
      <w:rFonts w:ascii="Tahoma" w:eastAsia="Times New Roman" w:hAnsi="Tahoma" w:cs="Tahoma"/>
      <w:sz w:val="16"/>
      <w:szCs w:val="16"/>
      <w:lang w:eastAsia="es-ES"/>
    </w:rPr>
  </w:style>
  <w:style w:type="character" w:customStyle="1" w:styleId="CarCar3">
    <w:name w:val="Car Car3"/>
    <w:basedOn w:val="Fuentedeprrafopredeter"/>
    <w:rsid w:val="0093314D"/>
    <w:rPr>
      <w:sz w:val="28"/>
      <w:szCs w:val="24"/>
      <w:lang w:val="es-ES" w:eastAsia="es-ES" w:bidi="ar-SA"/>
    </w:rPr>
  </w:style>
  <w:style w:type="character" w:customStyle="1" w:styleId="CarCar2">
    <w:name w:val="Car Car2"/>
    <w:basedOn w:val="Fuentedeprrafopredeter"/>
    <w:rsid w:val="0093314D"/>
    <w:rPr>
      <w:rFonts w:ascii="Arial" w:hAnsi="Arial" w:cs="Arial"/>
      <w:b/>
      <w:bCs/>
      <w:i/>
      <w:iCs/>
      <w:sz w:val="28"/>
      <w:szCs w:val="28"/>
      <w:lang w:val="es-ES" w:eastAsia="es-ES" w:bidi="ar-SA"/>
    </w:rPr>
  </w:style>
  <w:style w:type="character" w:customStyle="1" w:styleId="CarCar1">
    <w:name w:val="Car Car1"/>
    <w:basedOn w:val="Fuentedeprrafopredeter"/>
    <w:rsid w:val="0093314D"/>
    <w:rPr>
      <w:rFonts w:ascii="Arial" w:hAnsi="Arial" w:cs="Arial"/>
      <w:b/>
      <w:bCs/>
      <w:sz w:val="26"/>
      <w:szCs w:val="26"/>
      <w:lang w:val="es-ES" w:eastAsia="es-ES" w:bidi="ar-SA"/>
    </w:rPr>
  </w:style>
  <w:style w:type="table" w:styleId="Tablaconcuadrcula">
    <w:name w:val="Table Grid"/>
    <w:basedOn w:val="Tablanormal"/>
    <w:rsid w:val="0093314D"/>
    <w:pPr>
      <w:spacing w:after="0" w:line="240" w:lineRule="auto"/>
    </w:pPr>
    <w:rPr>
      <w:rFonts w:ascii="Times New Roman" w:eastAsia="Times New Roman" w:hAnsi="Times New Roman" w:cs="Times New Roman"/>
      <w:sz w:val="20"/>
      <w:szCs w:val="20"/>
      <w:lang w:eastAsia="es-S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93314D"/>
    <w:pPr>
      <w:spacing w:after="120"/>
    </w:pPr>
  </w:style>
  <w:style w:type="character" w:customStyle="1" w:styleId="TextoindependienteCar">
    <w:name w:val="Texto independiente Car"/>
    <w:basedOn w:val="Fuentedeprrafopredeter"/>
    <w:link w:val="Textoindependiente"/>
    <w:rsid w:val="0093314D"/>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93314D"/>
    <w:pPr>
      <w:spacing w:after="120" w:line="480" w:lineRule="auto"/>
    </w:pPr>
  </w:style>
  <w:style w:type="character" w:customStyle="1" w:styleId="Textoindependiente2Car">
    <w:name w:val="Texto independiente 2 Car"/>
    <w:basedOn w:val="Fuentedeprrafopredeter"/>
    <w:link w:val="Textoindependiente2"/>
    <w:rsid w:val="0093314D"/>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93314D"/>
    <w:pPr>
      <w:spacing w:after="120"/>
    </w:pPr>
    <w:rPr>
      <w:sz w:val="16"/>
      <w:szCs w:val="16"/>
    </w:rPr>
  </w:style>
  <w:style w:type="character" w:customStyle="1" w:styleId="Textoindependiente3Car">
    <w:name w:val="Texto independiente 3 Car"/>
    <w:basedOn w:val="Fuentedeprrafopredeter"/>
    <w:link w:val="Textoindependiente3"/>
    <w:rsid w:val="0093314D"/>
    <w:rPr>
      <w:rFonts w:ascii="Times New Roman" w:eastAsia="Times New Roman" w:hAnsi="Times New Roman" w:cs="Times New Roman"/>
      <w:sz w:val="16"/>
      <w:szCs w:val="16"/>
      <w:lang w:eastAsia="es-ES"/>
    </w:rPr>
  </w:style>
  <w:style w:type="paragraph" w:customStyle="1" w:styleId="Blockquote">
    <w:name w:val="Blockquote"/>
    <w:basedOn w:val="Normal"/>
    <w:rsid w:val="0093314D"/>
    <w:pPr>
      <w:spacing w:before="100" w:after="100"/>
      <w:ind w:left="360" w:right="360"/>
    </w:pPr>
    <w:rPr>
      <w:snapToGrid w:val="0"/>
      <w:szCs w:val="20"/>
      <w:lang w:val="es-PE"/>
    </w:rPr>
  </w:style>
  <w:style w:type="paragraph" w:styleId="Textonotaalfinal">
    <w:name w:val="endnote text"/>
    <w:basedOn w:val="Normal"/>
    <w:link w:val="TextonotaalfinalCar"/>
    <w:semiHidden/>
    <w:rsid w:val="0093314D"/>
    <w:rPr>
      <w:sz w:val="20"/>
      <w:szCs w:val="20"/>
    </w:rPr>
  </w:style>
  <w:style w:type="character" w:customStyle="1" w:styleId="TextonotaalfinalCar">
    <w:name w:val="Texto nota al final Car"/>
    <w:basedOn w:val="Fuentedeprrafopredeter"/>
    <w:link w:val="Textonotaalfinal"/>
    <w:semiHidden/>
    <w:rsid w:val="0093314D"/>
    <w:rPr>
      <w:rFonts w:ascii="Times New Roman" w:eastAsia="Times New Roman" w:hAnsi="Times New Roman" w:cs="Times New Roman"/>
      <w:sz w:val="20"/>
      <w:szCs w:val="20"/>
      <w:lang w:eastAsia="es-ES"/>
    </w:rPr>
  </w:style>
  <w:style w:type="paragraph" w:styleId="Ttulo">
    <w:name w:val="Title"/>
    <w:link w:val="TtuloCar"/>
    <w:qFormat/>
    <w:rsid w:val="0093314D"/>
    <w:pPr>
      <w:spacing w:after="0" w:line="240" w:lineRule="auto"/>
    </w:pPr>
    <w:rPr>
      <w:rFonts w:ascii="Garamond" w:eastAsia="Times New Roman" w:hAnsi="Garamond" w:cs="Times New Roman"/>
      <w:color w:val="FFFFFF"/>
      <w:kern w:val="28"/>
      <w:sz w:val="104"/>
      <w:szCs w:val="104"/>
      <w:lang w:val="es-ES" w:eastAsia="es-ES"/>
    </w:rPr>
  </w:style>
  <w:style w:type="character" w:customStyle="1" w:styleId="TtuloCar">
    <w:name w:val="Título Car"/>
    <w:basedOn w:val="Fuentedeprrafopredeter"/>
    <w:link w:val="Ttulo"/>
    <w:rsid w:val="0093314D"/>
    <w:rPr>
      <w:rFonts w:ascii="Garamond" w:eastAsia="Times New Roman" w:hAnsi="Garamond" w:cs="Times New Roman"/>
      <w:color w:val="FFFFFF"/>
      <w:kern w:val="28"/>
      <w:sz w:val="104"/>
      <w:szCs w:val="104"/>
      <w:lang w:val="es-ES" w:eastAsia="es-ES"/>
    </w:rPr>
  </w:style>
  <w:style w:type="paragraph" w:customStyle="1" w:styleId="msoorganizationname">
    <w:name w:val="msoorganizationname"/>
    <w:rsid w:val="0093314D"/>
    <w:pPr>
      <w:spacing w:after="0" w:line="240" w:lineRule="auto"/>
      <w:jc w:val="center"/>
    </w:pPr>
    <w:rPr>
      <w:rFonts w:ascii="Garamond" w:eastAsia="Times New Roman" w:hAnsi="Garamond" w:cs="Times New Roman"/>
      <w:b/>
      <w:bCs/>
      <w:smallCaps/>
      <w:color w:val="000000"/>
      <w:kern w:val="28"/>
      <w:sz w:val="36"/>
      <w:szCs w:val="3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6718</Words>
  <Characters>36950</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Serrano</dc:creator>
  <cp:lastModifiedBy>KELLI</cp:lastModifiedBy>
  <cp:revision>2</cp:revision>
  <dcterms:created xsi:type="dcterms:W3CDTF">2013-06-05T15:51:00Z</dcterms:created>
  <dcterms:modified xsi:type="dcterms:W3CDTF">2013-06-05T15:51:00Z</dcterms:modified>
</cp:coreProperties>
</file>