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SIMULACRO III</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INSTITUTO DE FORMACIÒN TEORÍA Y PRAXIS</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Material elaborado para Curso Derecho Notarial 2003</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Por Lic. LUIS VASQUEZ LÒPEZ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MATERIAL EXCLUSIVO PARA ESTUDIARLO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SE PROHIBE SU REPRODUCCIÓN POR CUALQUIER MEDIO.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1.-</w:t>
      </w:r>
      <w:r w:rsidRPr="00A53353">
        <w:rPr>
          <w:rFonts w:ascii="Times New Roman" w:eastAsia="Times New Roman" w:hAnsi="Times New Roman" w:cs="Times New Roman"/>
          <w:sz w:val="24"/>
          <w:szCs w:val="24"/>
          <w:lang w:eastAsia="es-ES"/>
        </w:rPr>
        <w:t xml:space="preserve"> Ante sus oficios se presentan los señores Gómez y Martínez, pues el hijo del primero está en deber al segundo la suma de $5,000.00 desde hace más de 21años. En vista que el Sr. Martínez publicitó en un periódico de mayor circulación dicho adeudo, el Sr. Gómez le ha ofrecido una hipoteca de un inmueble de su propiedad situado en Santa Tecla para caucionar el pago de la anterior obligación. Como notario Ud. les manifiesta:</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a)   Que demande al hijo del Sr. Gómez en un proceso civil para que el Sr. Martínez se cobre su adeudo.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b)   Que no se puede hacer nada porque ya prescribió la acción civil para exigir el cumplimiento de la obligación.</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c)   Que puede otorgar hipoteca en garantía de la obligación que su hijo tiene para con el Sr. Martínez, pese a que es una obligación natural.</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d)   Que no puede otorgar hipoteca a favor de una obligación civil que ya se ha extinguido por la prescripción.</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e)   Que dejen las cosas así como están.</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2.-</w:t>
      </w:r>
      <w:r w:rsidRPr="00A53353">
        <w:rPr>
          <w:rFonts w:ascii="Times New Roman" w:eastAsia="Times New Roman" w:hAnsi="Times New Roman" w:cs="Times New Roman"/>
          <w:sz w:val="24"/>
          <w:szCs w:val="24"/>
          <w:lang w:eastAsia="es-ES"/>
        </w:rPr>
        <w:t xml:space="preserve"> Pedro y María tienen 5 años de ser novios, Me presentan una certificación del acta de Capitulaciones Matrimoniales que otorgaron ante el Procurador Auxiliar de Sonsonate, el 5 de julio  del corriente año. Y este día 12 de octubre se presentan ante mis oficios notariales con la documentación necesaria, manifestándome su intención de contraer matrimonio entre sí y pidiendo levante el acta prematrimonial con tal fin. Como notario me cercioro que la certificación donde aparecen las Capitulaciones Matrimoniales que celebraron no han sido registradas en el Registro de Regímenes Patrimoniales del Matrimonio. ¿Qué hará Ud.?</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lastRenderedPageBreak/>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a)   Decide remitir al Registro respectivo la certificación del acta de celebración de las Capitulaciones Matrimoniales, previo al otorgamiento del matrimonio.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b)   Decide esperar la inscripción de las capitulaciones matrimoniales de los futuros contrayentes para otorgar el acta prematrimonial</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c)   Se otorga el acta matrimonial, se señala día y fecha para la celebración del matrimonio y remite al Registro de los Regimenes Patrimoniales del Matrimonio  las capitulaciones matrimoniales que con anterioridad otorgaron los futuros contrayentes.</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d)   Inicia el expediente matrimonial levantándose el acta prematrimonial y señalándose día y hora para la celebración del respectivo matrimonio. Una vez celebrado éste remitirá las capitulaciones matrimoniales al respectivo Registro.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3.-</w:t>
      </w:r>
      <w:r w:rsidRPr="00A53353">
        <w:rPr>
          <w:rFonts w:ascii="Times New Roman" w:eastAsia="Times New Roman" w:hAnsi="Times New Roman" w:cs="Times New Roman"/>
          <w:sz w:val="24"/>
          <w:szCs w:val="24"/>
          <w:lang w:eastAsia="es-ES"/>
        </w:rPr>
        <w:t xml:space="preserve"> Ponga atención a los siguientes ejemplos: a) Pedro se compromete con el propietario vecino a pagarle $100 si corta unos árboles de su propiedad que le quitan la vista; b) Vendo mi casa si abandono la ciudad con ocasión de circunstancias no previstas; c) Me obligo a comprar el carro de Juan si lo trasladan en su trabajo a otro país. Son ejemplos de:</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numPr>
          <w:ilvl w:val="0"/>
          <w:numId w:val="1"/>
        </w:num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numPr>
          <w:ilvl w:val="1"/>
          <w:numId w:val="1"/>
        </w:num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Obligación imposible</w:t>
      </w:r>
    </w:p>
    <w:p w:rsidR="00A53353" w:rsidRPr="00A53353" w:rsidRDefault="00A53353" w:rsidP="00A53353">
      <w:pPr>
        <w:numPr>
          <w:ilvl w:val="1"/>
          <w:numId w:val="1"/>
        </w:num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Obligación Suspensiva</w:t>
      </w:r>
    </w:p>
    <w:p w:rsidR="00A53353" w:rsidRPr="00A53353" w:rsidRDefault="00A53353" w:rsidP="00A53353">
      <w:pPr>
        <w:numPr>
          <w:ilvl w:val="1"/>
          <w:numId w:val="1"/>
        </w:num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Obligación potestativa</w:t>
      </w:r>
    </w:p>
    <w:p w:rsidR="00A53353" w:rsidRPr="00A53353" w:rsidRDefault="00A53353" w:rsidP="00A53353">
      <w:pPr>
        <w:numPr>
          <w:ilvl w:val="1"/>
          <w:numId w:val="1"/>
        </w:num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xml:space="preserve">Obligación casual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4.</w:t>
      </w:r>
      <w:r w:rsidRPr="00A53353">
        <w:rPr>
          <w:rFonts w:ascii="Times New Roman" w:eastAsia="Times New Roman" w:hAnsi="Times New Roman" w:cs="Times New Roman"/>
          <w:sz w:val="24"/>
          <w:szCs w:val="24"/>
          <w:lang w:eastAsia="es-ES"/>
        </w:rPr>
        <w:t xml:space="preserve"> Ante sus oficios se presenta un comprador y vendedor de un inmueble urbano y pretenden que Ud. como notario haga constar lo siguiente: “Yo te vendo mi casa a tal precio; pero la venta será resuelta si me pagas el precio dentro de ocho días” Ud. Opina:</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a)   Que no es posible crear un derecho y luego extinguirlo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b)   Que se puede poner una disposición que crea obligaciones resultantes de un contrato de venta y luego, una disposición que tiene por objeto resolver estas relaciones.</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c)   Que no se puede poner una disposición que crea obligaciones resultantes de un contrato de venta y luego, una disposición que tiene por objeto resolver (terminar) estas relaciones.</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d)   Mejor no opina</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5.</w:t>
      </w:r>
      <w:r w:rsidRPr="00A53353">
        <w:rPr>
          <w:rFonts w:ascii="Times New Roman" w:eastAsia="Times New Roman" w:hAnsi="Times New Roman" w:cs="Times New Roman"/>
          <w:sz w:val="24"/>
          <w:szCs w:val="24"/>
          <w:lang w:eastAsia="es-ES"/>
        </w:rPr>
        <w:t xml:space="preserve"> Hace poco ante Ud. como notario se otorgó un testamento por el Sr. López; pero a uno de los testigos le asalta la duda si de las siguientes condiciones que dictó, se deben cumplir todas o solamente bastará con una. El testador manifestó: “Si mi hijo Julio se gradúa de médico y se traslada a Santa Ana a ejercer”</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xml:space="preserve">Estamos frente a condiciones copulativas  </w:t>
      </w:r>
    </w:p>
    <w:p w:rsidR="00A53353" w:rsidRPr="00A53353" w:rsidRDefault="00A53353" w:rsidP="00A53353">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xml:space="preserve">Estamos frente a condiciones disyuntivas </w:t>
      </w:r>
    </w:p>
    <w:p w:rsidR="00A53353" w:rsidRPr="00A53353" w:rsidRDefault="00A53353" w:rsidP="00A53353">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xml:space="preserve">Como la voluntad del testador no puede establecerse, habrá que cumplir todas las condiciones. </w:t>
      </w:r>
    </w:p>
    <w:p w:rsidR="00A53353" w:rsidRPr="00A53353" w:rsidRDefault="00A53353" w:rsidP="00A53353">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El notario dice que no se acuerda</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6.-</w:t>
      </w:r>
      <w:r w:rsidRPr="00A53353">
        <w:rPr>
          <w:rFonts w:ascii="Times New Roman" w:eastAsia="Times New Roman" w:hAnsi="Times New Roman" w:cs="Times New Roman"/>
          <w:sz w:val="24"/>
          <w:szCs w:val="24"/>
          <w:lang w:eastAsia="es-ES"/>
        </w:rPr>
        <w:t xml:space="preserve"> Pedro le vende su casa a Juan con pacto de retroventa y se presenta ante Ud. como notario a preguntarle si es posible que Pedro pueda renunciar al derecho que el contrato de compraventa con pacto de retroventa le confiere  y no recomprar la casa. Para que Juan no quede en la incertidumbre ¿Tendrá derecho para exigir de Pedro que declare su determinación?</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a)   No, no tiene ningún derecho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b)   Sí, tiene ese derecho.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c)   Ni si, ni no.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d)   Ninguna de las anteriores</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7.-.</w:t>
      </w:r>
      <w:r w:rsidRPr="00A53353">
        <w:rPr>
          <w:rFonts w:ascii="Times New Roman" w:eastAsia="Times New Roman" w:hAnsi="Times New Roman" w:cs="Times New Roman"/>
          <w:sz w:val="24"/>
          <w:szCs w:val="24"/>
          <w:lang w:eastAsia="es-ES"/>
        </w:rPr>
        <w:t xml:space="preserve"> De un contrato se deben 50 vacas o la suma de $3,000.00 por todos ellos. Le preguntan a Ud. que hizo la escritura si pueden pagar con 25 vacas y $1,500.00. Y Ud. le contesta al deudor:</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a)   Que perfectamente puede hacerlo, para cumplir con su obligación generada del contrato.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b)   Que lo piense primero y que le pague mejor las 50 vacas y los $3,000.00 para no tener problemas</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c)   Que no puede pagar una parte de las vacas y otra parte del dinero.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d)   Que todavía no le pague mejor, hasta que pueda.</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8.</w:t>
      </w:r>
      <w:r w:rsidRPr="00A53353">
        <w:rPr>
          <w:rFonts w:ascii="Times New Roman" w:eastAsia="Times New Roman" w:hAnsi="Times New Roman" w:cs="Times New Roman"/>
          <w:sz w:val="24"/>
          <w:szCs w:val="24"/>
          <w:lang w:eastAsia="es-ES"/>
        </w:rPr>
        <w:t xml:space="preserve"> Ante sus oficios notariales se presentan dos tipos y uno de ellos le manifiesta en un contrato que se obliga a indemnizar al otro los daños y perjuicios que pueda sufrir  en una ocasión particular. ¿Es válida la válida esa disposición?</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a)   No, porque no se ha determinado la suma a indemnizar</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b)   Sí, porque la cantidad de dinero a pagar puede ser determinable por la estimación que de ella se haga</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c)   No, porque esa indemnización no puede existir por falta de objeto preciso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d)   Sí, porque yo creo que sí.</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9.-</w:t>
      </w:r>
      <w:r w:rsidRPr="00A53353">
        <w:rPr>
          <w:rFonts w:ascii="Times New Roman" w:eastAsia="Times New Roman" w:hAnsi="Times New Roman" w:cs="Times New Roman"/>
          <w:sz w:val="24"/>
          <w:szCs w:val="24"/>
          <w:lang w:eastAsia="es-ES"/>
        </w:rPr>
        <w:t xml:space="preserve"> Pedro decide vender su Finca de café “La Peleada” y para ello saca la oferta de la misma en el Periódico. Aparece Agapito López y se la compra al contado. Se otorga el instrumento correspondiente y posteriormente Pedro se da cuenta que Agapito es hermano del colindante de la finca con quien tuvo un pleito legal de años por la misma.</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¿Puede Pedro alegar error como vicio del consentimiento?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a)   Sí, porque la consideración de la persona que le compró fue la causa principal del contrato.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b)   No. porque la venta no fue hecha en consideración de la persona que le compró.</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c)   Sí, porque existe error como vicio del consentimiento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d)   No, porque hubo dolo de parte de Agapito López.</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10.-</w:t>
      </w:r>
      <w:r w:rsidRPr="00A53353">
        <w:rPr>
          <w:rFonts w:ascii="Times New Roman" w:eastAsia="Times New Roman" w:hAnsi="Times New Roman" w:cs="Times New Roman"/>
          <w:sz w:val="24"/>
          <w:szCs w:val="24"/>
          <w:lang w:eastAsia="es-ES"/>
        </w:rPr>
        <w:t xml:space="preserve"> Una persona se encuentra en los Estados Unidos y le llega noticia de que su esposa tuvo un accidente y dejó su vehículo inservible. Por esta razón autorizó a su apoderado a que procediera a comprarle otro a José, quien los introduce al país del extranjero y los da a muy buen precio. Al regresar al país se da cuenta que el vehículo de su esposa,  no estaba muy dañado y que se podía enderezar fácilmente la parte dañada. ¿Puede este error viciar el consentimiento del nuevo contrato celebrado por su apoderado?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a)   Sí. Porque afecta los requisitos de existencia del contrato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b)   No. Porque no afecta los requisitos de validez del contrato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c)   Sí, porque existe un error accidental</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d)   No. porque no afecta ni la existencia ni la validez del contrato.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11.-</w:t>
      </w:r>
      <w:r w:rsidRPr="00A53353">
        <w:rPr>
          <w:rFonts w:ascii="Times New Roman" w:eastAsia="Times New Roman" w:hAnsi="Times New Roman" w:cs="Times New Roman"/>
          <w:sz w:val="24"/>
          <w:szCs w:val="24"/>
          <w:lang w:eastAsia="es-ES"/>
        </w:rPr>
        <w:t xml:space="preserve"> ¿En un contrato de compraventa de un inmueble, si el vendedor ya ha hecho la tradición de ese inmueble al comprador e inscrito en el Registro respectivo el instrumento; la adquisición del dominio del inmueble por parte del comprador podría desaparecer por medio del mutuo consentimiento, mutuo disenso o resciliación?</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a)   Basta la resciliación para que ese contrato cese en sus efectos y se presente al Registro respectivo para que le inscriban nuevamente la propiedad a su nombre.</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b)   Es necesario que el comprador le transfiere nuevamente al vendedor el dominio del inmueble por una nueva compraventa y que siga la correspondiente inscripción.</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c)   Deben presentar la resciliación al Registro y explicar mediante una nota que se cancela la anterior inscripción.</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d)   No existe la rescisión de ese contrato.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12.-</w:t>
      </w:r>
      <w:r w:rsidRPr="00A53353">
        <w:rPr>
          <w:rFonts w:ascii="Times New Roman" w:eastAsia="Times New Roman" w:hAnsi="Times New Roman" w:cs="Times New Roman"/>
          <w:sz w:val="24"/>
          <w:szCs w:val="24"/>
          <w:lang w:eastAsia="es-ES"/>
        </w:rPr>
        <w:t xml:space="preserve"> Jorge y Teresa desean contraer matrimonio entre sí. Presentan todos sus papeles necesarios en legal forma, pero entre ellos el notario encuentra una certificación de partida de defunción de un  menor hijo que al parecer tuvieron y que no aparece ningún nombre del padre en dicha certificación. En vista de ello y de la manifestación de Jorge que desea reconocer como hijo al que tuvo Teresa y que ya falleció. Como notario Ud.:</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a)   Le manifiesta que en vista de que ya falleció el menor hijo de Teresa no puede reconocerlo Jorge.</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b)   Teresa sostiene que ese hijo estaba por nacer antes de que se casaran, pero como Jorge había abandonado el país, el niño nació vivo, era hijo de él, pero por un accidente fatal el menor falleció, antes que su padre regresara a El Salvador. Por lo que le pide al notario que no lo ponga en el instrumento del matrimonio, porque se presume que siempre ha sido hijo de Jorge.</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c)   Jorge puede reconocer en el acto de matrimonio a su hijo fallecido.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d)   El notario manifiesta que hará mención del hijo fallecido, relacionando la partida de defunción en la escritura de matrimonio.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13.-</w:t>
      </w:r>
      <w:r w:rsidRPr="00A53353">
        <w:rPr>
          <w:rFonts w:ascii="Times New Roman" w:eastAsia="Times New Roman" w:hAnsi="Times New Roman" w:cs="Times New Roman"/>
          <w:sz w:val="24"/>
          <w:szCs w:val="24"/>
          <w:lang w:eastAsia="es-ES"/>
        </w:rPr>
        <w:t xml:space="preserve"> El ordinal 5º del Art. 32 de la Ley de Notariado expresa que los testigos de identificación deben ser “conocidos del notario”. Paco y Marta son menores de edad,  residentes en Santa Ana, como el matrimonio se pretende celebrar ante un notario en La Unión, y el notario no conoce los testigos que identifican a los menores, pero ambos son portadores de sus respectivos documentos únicos de identidad expedidos en legal forma. ¿Admite Ud. como notario esos testigos para identificar los menores contrayentes?</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a)   Según el Art. 32 Ordinal 5º de la Ley de Notariado los testigos de conocimiento o identificación deben ser conocidos del notario. Por lo que no los admite</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b)   Pone como testigos de conocimiento mejor dos testigos de La Unión aunque no conozcan a los menores contrayentes.</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c)   Es suficiente que los menores sean identificados por medio de dos testigos, sin exigirse que sean conocidos del notario.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d)   Es suficiente que los menores sean identificados por medio de dos testigos, con tal que éstos sean conocidos del notario.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 xml:space="preserve">14.- </w:t>
      </w:r>
      <w:r w:rsidRPr="00A53353">
        <w:rPr>
          <w:rFonts w:ascii="Times New Roman" w:eastAsia="Times New Roman" w:hAnsi="Times New Roman" w:cs="Times New Roman"/>
          <w:sz w:val="24"/>
          <w:szCs w:val="24"/>
          <w:lang w:eastAsia="es-ES"/>
        </w:rPr>
        <w:t> El ordinal 5º del Art. 32 de la Ley de Notariado expresa que los testigos de identificación deben ser “conocidos del notario”. Paco y Marta son menores de edad,  residentes en Santa Ana, como el matrimonio se pretende celebrar ante un notario en La Unión, y el notario no conoce los testigos que identifican a los menores, pero ambos son portadores de sus respectivos documentos únicos de identidad expedidos en legal forma. ¿Admite Ud. como notario esos testigos para identificar los menores contrayentes?</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a)   Según el Art. 32 Ordinal 5º de la Ley de Notariado los testigos de conocimiento o identificación deben ser conocidos del notario. Por lo que no los admite</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b)   Pone como testigos de conocimiento mejor dos testigos de La Unión aunque no conozcan a los menores contrayentes.</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c)   Es suficiente que los menores sean identificados por medio de dos testigos, sin exigirse que sean conocidos del notario.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d)   Es suficiente que los menores sean identificados por medio de dos testigos, con tal que éstos sean conocidos del notario.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 xml:space="preserve">15.- </w:t>
      </w:r>
      <w:r w:rsidRPr="00A53353">
        <w:rPr>
          <w:rFonts w:ascii="Times New Roman" w:eastAsia="Times New Roman" w:hAnsi="Times New Roman" w:cs="Times New Roman"/>
          <w:sz w:val="24"/>
          <w:szCs w:val="24"/>
          <w:lang w:eastAsia="es-ES"/>
        </w:rPr>
        <w:t>Al momento de conformarse una sociedad en relación al capital social debe de tener la condición material de::</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a)   Estar totalmente pagado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b)   Estar íntegramente suscrito y pagado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c)   Estar íntegramente suscrito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d)   Estar exhibido, suscrito y totalmente pagado.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16.-</w:t>
      </w:r>
      <w:r w:rsidRPr="00A53353">
        <w:rPr>
          <w:rFonts w:ascii="Times New Roman" w:eastAsia="Times New Roman" w:hAnsi="Times New Roman" w:cs="Times New Roman"/>
          <w:sz w:val="24"/>
          <w:szCs w:val="24"/>
          <w:lang w:eastAsia="es-ES"/>
        </w:rPr>
        <w:t xml:space="preserve"> ¿QUIÉN APRUEBA EL PROGRAMA MONETARIO DEL PAÍS?</w:t>
      </w:r>
    </w:p>
    <w:p w:rsidR="00A53353" w:rsidRPr="00A53353" w:rsidRDefault="00A53353" w:rsidP="00A53353">
      <w:pPr>
        <w:numPr>
          <w:ilvl w:val="0"/>
          <w:numId w:val="3"/>
        </w:num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El Presidente de la República</w:t>
      </w:r>
    </w:p>
    <w:p w:rsidR="00A53353" w:rsidRPr="00A53353" w:rsidRDefault="00A53353" w:rsidP="00A53353">
      <w:pPr>
        <w:numPr>
          <w:ilvl w:val="0"/>
          <w:numId w:val="3"/>
        </w:num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El Consejo de Ministros</w:t>
      </w:r>
    </w:p>
    <w:p w:rsidR="00A53353" w:rsidRPr="00A53353" w:rsidRDefault="00A53353" w:rsidP="00A53353">
      <w:pPr>
        <w:numPr>
          <w:ilvl w:val="0"/>
          <w:numId w:val="3"/>
        </w:num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xml:space="preserve">El Ministro de Economía </w:t>
      </w:r>
    </w:p>
    <w:p w:rsidR="00A53353" w:rsidRPr="00A53353" w:rsidRDefault="00A53353" w:rsidP="00A53353">
      <w:pPr>
        <w:numPr>
          <w:ilvl w:val="0"/>
          <w:numId w:val="3"/>
        </w:num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xml:space="preserve">El Banco Central de Reserva de El Salvador </w:t>
      </w:r>
    </w:p>
    <w:p w:rsidR="00A53353" w:rsidRPr="00A53353" w:rsidRDefault="00A53353" w:rsidP="00A53353">
      <w:pPr>
        <w:numPr>
          <w:ilvl w:val="0"/>
          <w:numId w:val="3"/>
        </w:num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xml:space="preserve">El Consejo Directivo del Banco Central de Reserva de El Salvador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i/>
          <w:iCs/>
          <w:sz w:val="24"/>
          <w:szCs w:val="24"/>
          <w:lang w:eastAsia="es-ES"/>
        </w:rPr>
        <w:t xml:space="preserve">.”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17.-</w:t>
      </w:r>
      <w:r w:rsidRPr="00A53353">
        <w:rPr>
          <w:rFonts w:ascii="Times New Roman" w:eastAsia="Times New Roman" w:hAnsi="Times New Roman" w:cs="Times New Roman"/>
          <w:sz w:val="24"/>
          <w:szCs w:val="24"/>
          <w:lang w:eastAsia="es-ES"/>
        </w:rPr>
        <w:t xml:space="preserve"> En el caso de no inscribir se en el registro de comercio la escritura social, la consecuencia que trae para los socios es:</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a)   Se devolverán el capital suscrito y pagado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b)   No tienen responsabilidad porque la sociedad es una nueva persona que tiene su propia responsabilidad</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c)   Respecto de terceros adquieren responsabilidad ilimitada y solidaria</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d)   Tienen responsabilidad supletoria.</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18.-</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Resulta que ante mis oficios notariales acabo de autorizar una compraventa de un vehículo por la suma de cuarenta mil dólares. Pero el comprador le pretende pagar al vendedor en mi presencia con moneda metálica (fichas) por valor de cinco mil dólares. El vendedor me protesta y me pide asesoría, pues no quiere recibirle tanta cantidad en moneda metálica. ¿Está obligado a recibirla me pregunta?</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a)   Sí, porque es parte del precio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b)   No. porque debe pagarse solamente en dólares en efectivo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c)   Sí, porque no se especificó forma de pago. (Aunque se habló de pago en efectivo realmente)</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d)   No, porque sólo estoy obligado a recibir el 10% en moneda metálica.</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e)   No, porque es una suma mayor de 500 colones y por ello no estoy obligado a recibir dicha moneda metálica</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19  </w:t>
      </w:r>
      <w:r w:rsidRPr="00A53353">
        <w:rPr>
          <w:rFonts w:ascii="Times New Roman" w:eastAsia="Times New Roman" w:hAnsi="Times New Roman" w:cs="Times New Roman"/>
          <w:sz w:val="24"/>
          <w:szCs w:val="24"/>
          <w:lang w:eastAsia="es-ES"/>
        </w:rPr>
        <w:t>Don Mardoqueo es el prestamista oficial de mi ciudad y se me presenta para que ante mis oficios notariales se autorice un préstamo que le está otorgando a un dizque “compadre” suyo. Me solicite que cuando redacte el instrumento haga constar la suma adeudada en la unida monetaria de la República. Ante esto ¿Que unidad monetaria haré constar en el instrumento?: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numPr>
          <w:ilvl w:val="0"/>
          <w:numId w:val="4"/>
        </w:num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La suma adeudada en colones</w:t>
      </w:r>
    </w:p>
    <w:p w:rsidR="00A53353" w:rsidRPr="00A53353" w:rsidRDefault="00A53353" w:rsidP="00A53353">
      <w:pPr>
        <w:numPr>
          <w:ilvl w:val="0"/>
          <w:numId w:val="4"/>
        </w:num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La suma adeudada en dólares</w:t>
      </w:r>
    </w:p>
    <w:p w:rsidR="00A53353" w:rsidRPr="00A53353" w:rsidRDefault="00A53353" w:rsidP="00A53353">
      <w:pPr>
        <w:numPr>
          <w:ilvl w:val="0"/>
          <w:numId w:val="4"/>
        </w:num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xml:space="preserve">La suma adeudada en colones y en dólares </w:t>
      </w:r>
    </w:p>
    <w:p w:rsidR="00A53353" w:rsidRPr="00A53353" w:rsidRDefault="00A53353" w:rsidP="00A53353">
      <w:pPr>
        <w:numPr>
          <w:ilvl w:val="0"/>
          <w:numId w:val="4"/>
        </w:num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La suma adeudada solamente la puedo hacer figurar en dólares y no como me lo pide Don Mardoqueo</w:t>
      </w:r>
    </w:p>
    <w:p w:rsidR="00A53353" w:rsidRPr="00A53353" w:rsidRDefault="00A53353" w:rsidP="00A53353">
      <w:pPr>
        <w:numPr>
          <w:ilvl w:val="0"/>
          <w:numId w:val="4"/>
        </w:num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xml:space="preserve">La suma adeudada en dólares oro americanos.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19</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Respuesta</w:t>
      </w:r>
      <w:r w:rsidRPr="00A53353">
        <w:rPr>
          <w:rFonts w:ascii="Times New Roman" w:eastAsia="Times New Roman" w:hAnsi="Times New Roman" w:cs="Times New Roman"/>
          <w:b/>
          <w:bCs/>
          <w:sz w:val="24"/>
          <w:szCs w:val="24"/>
          <w:lang w:eastAsia="es-ES"/>
        </w:rPr>
        <w:t>: a)</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El Art. 36 de la Ley Orgánica del BCR manifiesta:</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i/>
          <w:iCs/>
          <w:sz w:val="24"/>
          <w:szCs w:val="24"/>
          <w:lang w:eastAsia="es-ES"/>
        </w:rPr>
        <w:t>“La unidad monetaria de la República es el colón.”</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Ahora bien, el Art. 1 de la Ley de Integración monetaria lo que nos define es el tipo de cambio entre el colón y el dólar de los Estados Unidos de América, el cual es fijo e inalterable, a razón de ocho colones con setenta y cinco centavos por dólar de los Estados Unidos de América.</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El Art. 3 de la Ley de Integración Monetaria nos sigue manifestando: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i/>
          <w:iCs/>
          <w:sz w:val="24"/>
          <w:szCs w:val="24"/>
          <w:lang w:eastAsia="es-ES"/>
        </w:rPr>
        <w:t>“El dólar tendrá curso legal irrestricto con poder liberatorio ilimitado para el pago de obligaciones en dinero en el territorio nacional.”</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Por lo que don Mardoqueo está en lo legal en pedir que la suma adeudada conste en colones. Aunque a la hora de su pago el mutuario puede perfectamente pagarla en colones o su equivalente en dólares a razón de 1 dólar por 8.75 colones.</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 xml:space="preserve">20.- </w:t>
      </w:r>
      <w:r w:rsidRPr="00A53353">
        <w:rPr>
          <w:rFonts w:ascii="Times New Roman" w:eastAsia="Times New Roman" w:hAnsi="Times New Roman" w:cs="Times New Roman"/>
          <w:sz w:val="24"/>
          <w:szCs w:val="24"/>
          <w:lang w:eastAsia="es-ES"/>
        </w:rPr>
        <w:t>Las demás iglesias que no son la católica, obtienen el reconocimiento de su personalidad jurídica en base al siguiente cuerpo normativo: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a)   Constitución</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b)   Código Civil</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c)   Código de Comercio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d)   Ley de Asociaciones y Fundaciones sin fines de lucro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e)   Ninguno de los anteriores.</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RESPUESTAS AL SIMULACRO III</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NO LAS VEA HASTA QUE TERMINE SU EXAMEN</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NO SE ENGAÑE USTED SOLO. INTENTE REALIZARLO EN LA FORMA COMO DEBE SER EN DOS HORAS COMO MÁXIMO.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CALÌFIQUESE HONESTAMENTE USTED MISMO.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1.- Respuesta: c)</w:t>
      </w:r>
      <w:r w:rsidRPr="00A53353">
        <w:rPr>
          <w:rFonts w:ascii="Times New Roman" w:eastAsia="Times New Roman" w:hAnsi="Times New Roman" w:cs="Times New Roman"/>
          <w:sz w:val="24"/>
          <w:szCs w:val="24"/>
          <w:lang w:eastAsia="es-ES"/>
        </w:rPr>
        <w:t xml:space="preserve"> / Se trataba por consiguiente de una obligación civil, cuyo cumplimiento ha podido exigir el acreedor, si el deudor no la cumplía, sea por la vía ordinaria o por la vía ejecutiva; pero que el acreedor al dejar transcurrir los 20 años sin ejercitar las acciones que la ley le otorga. La obligación en tal caso se extingue, prescribe como obligación civil; más como la deuda existió y como no se ha sido solucionado el vínculo jurídico que existe entre el acreedor que se ha dejado estar en la inacción y su deudor, se transforma en una obligación natural, que perfectamente se puede caucionar según el Art. 1343 vale al ser constituidas por terceros para seguridad de una obligación natural comprendida en las expresadas en el Art. 1341 C. Por lo que las obligaciones accesorias de terceros son obligaciones civiles perfectamente válidas, porque la obligación principal a que acceden existe como obligación natural. Este tercero puede ser perseguido para el pago, aunque el deudor principal no pueda serlo. Precisamente se contraen para asegurar la prestación, ya que el deudor principal solamente ha contraído una obligación natural. Pregunta y contestación  elaborada por Lic. Luis Vásquez López 2003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2.-</w:t>
      </w:r>
      <w:r w:rsidRPr="00A53353">
        <w:rPr>
          <w:rFonts w:ascii="Times New Roman" w:eastAsia="Times New Roman" w:hAnsi="Times New Roman" w:cs="Times New Roman"/>
          <w:sz w:val="24"/>
          <w:szCs w:val="24"/>
          <w:lang w:eastAsia="es-ES"/>
        </w:rPr>
        <w:t xml:space="preserve"> Respuesta </w:t>
      </w:r>
      <w:r w:rsidRPr="00A53353">
        <w:rPr>
          <w:rFonts w:ascii="Times New Roman" w:eastAsia="Times New Roman" w:hAnsi="Times New Roman" w:cs="Times New Roman"/>
          <w:b/>
          <w:bCs/>
          <w:sz w:val="24"/>
          <w:szCs w:val="24"/>
          <w:lang w:eastAsia="es-ES"/>
        </w:rPr>
        <w:t>d)</w:t>
      </w:r>
      <w:r w:rsidRPr="00A53353">
        <w:rPr>
          <w:rFonts w:ascii="Times New Roman" w:eastAsia="Times New Roman" w:hAnsi="Times New Roman" w:cs="Times New Roman"/>
          <w:sz w:val="24"/>
          <w:szCs w:val="24"/>
          <w:lang w:eastAsia="es-ES"/>
        </w:rPr>
        <w:t xml:space="preserve"> El instrumento mediante el cual se otorgan las capitulaciones matrimoniales es inscribible y según el Art. 46 inciso 2º  de la Ley Transitoria del Registro de Estado Familiar y de los Regímenes Patrimoniales del Matrimonio: “Celebrado el matrimonio, el funcionario o notario que lo autorice deberá remitir al Registrador del Estado Familiar del lugar de la celebración del acta o testimonio del instrumento de matrimonio y dentro del mismo plazo que se establece en el artículo 29 del Código de Familia, el testimonio o certificación del acta de formalización de capitulaciones para que los inscriba en este Registro”. Léase el Art. 29 del Código de Familia para mejor comprensión. Pregunta y contestación  elaborada por Lic. Luis Vásquez López 2003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3.-</w:t>
      </w:r>
      <w:r w:rsidRPr="00A53353">
        <w:rPr>
          <w:rFonts w:ascii="Times New Roman" w:eastAsia="Times New Roman" w:hAnsi="Times New Roman" w:cs="Times New Roman"/>
          <w:sz w:val="24"/>
          <w:szCs w:val="24"/>
          <w:lang w:eastAsia="es-ES"/>
        </w:rPr>
        <w:t xml:space="preserve"> Respuesta </w:t>
      </w:r>
      <w:r w:rsidRPr="00A53353">
        <w:rPr>
          <w:rFonts w:ascii="Times New Roman" w:eastAsia="Times New Roman" w:hAnsi="Times New Roman" w:cs="Times New Roman"/>
          <w:b/>
          <w:bCs/>
          <w:sz w:val="24"/>
          <w:szCs w:val="24"/>
          <w:lang w:eastAsia="es-ES"/>
        </w:rPr>
        <w:t>c)</w:t>
      </w:r>
      <w:r w:rsidRPr="00A53353">
        <w:rPr>
          <w:rFonts w:ascii="Times New Roman" w:eastAsia="Times New Roman" w:hAnsi="Times New Roman" w:cs="Times New Roman"/>
          <w:sz w:val="24"/>
          <w:szCs w:val="24"/>
          <w:lang w:eastAsia="es-ES"/>
        </w:rPr>
        <w:t>  Dice el Art. 1348 “Se llama condición potestativa la que depende de la voluntad del acreedor o del deudor…” O sea que es aquella en que el acontecimiento que la constituye depende de la voluntad del acreedor o del deudor. En los ejemplos mencionados la obligación está subordinada al evento de una condición potestativa sea de parte del acreedor, sea de parte del deudor. . Pregunta y contestación  elaborada por Lic. Luis Vásquez López 2003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4.- Respuesta  b).</w:t>
      </w:r>
      <w:r w:rsidRPr="00A53353">
        <w:rPr>
          <w:rFonts w:ascii="Times New Roman" w:eastAsia="Times New Roman" w:hAnsi="Times New Roman" w:cs="Times New Roman"/>
          <w:sz w:val="24"/>
          <w:szCs w:val="24"/>
          <w:lang w:eastAsia="es-ES"/>
        </w:rPr>
        <w:t xml:space="preserve"> En este caso tenemos desde luego una disposición que crea las relaciones de derecho resultantes del contrato de venta y en segundo lugar una disposición que tiene por objeto resolver (terminar) estas relaciones. Ahora bien, como el efecto de esta segunda disposición depende de una condición, a saber del no pago del precio, se dice que las dos convenciones constituyen un acto de venta concluido bajo condición resolutoria, aunque en realidad la venta sea pura y simple y que no haya de condicional sino la facultad que es dejada a una de las partes de resolver la venta. . Pregunta y contestación  elaborada por Lic. Luis Vásquez López 2003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5.- Respuesta c.</w:t>
      </w:r>
      <w:r w:rsidRPr="00A53353">
        <w:rPr>
          <w:rFonts w:ascii="Times New Roman" w:eastAsia="Times New Roman" w:hAnsi="Times New Roman" w:cs="Times New Roman"/>
          <w:sz w:val="24"/>
          <w:szCs w:val="24"/>
          <w:lang w:eastAsia="es-ES"/>
        </w:rPr>
        <w:t xml:space="preserve"> Si son varias las condiciones que se han puesto en el acto, hay que distinguir: a) Todas deben ser cumplidas cuando son puestas copulativamente, por ejemplo, si mi hijo Julio se gradúa de médico y se traslada a Santa Ana a ejercer; son dos condiciones unidas por la conjunción y exigidas por lo tanto copulativamente, y se las considera una sola; b) Basta cumplir una sola, cuando son separadas por una conjunción disyuntiva, por ejemplo, si mi hijo Julio se gradúa de médico o se traslada a Santa Ana a residir. Podría ocurrir que en el acto no se expresara claramente si las condiciones eran conjuntas o disyuntivas. Entonces, habría que cumplir todas las condiciones. . Pregunta y contestación  elaborada por Lic. Luis Vásquez López 2003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6.-</w:t>
      </w:r>
      <w:r w:rsidRPr="00A53353">
        <w:rPr>
          <w:rFonts w:ascii="Times New Roman" w:eastAsia="Times New Roman" w:hAnsi="Times New Roman" w:cs="Times New Roman"/>
          <w:sz w:val="24"/>
          <w:szCs w:val="24"/>
          <w:lang w:eastAsia="es-ES"/>
        </w:rPr>
        <w:t xml:space="preserve"> Respuesta </w:t>
      </w:r>
      <w:r w:rsidRPr="00A53353">
        <w:rPr>
          <w:rFonts w:ascii="Times New Roman" w:eastAsia="Times New Roman" w:hAnsi="Times New Roman" w:cs="Times New Roman"/>
          <w:b/>
          <w:bCs/>
          <w:sz w:val="24"/>
          <w:szCs w:val="24"/>
          <w:lang w:eastAsia="es-ES"/>
        </w:rPr>
        <w:t>b) ./</w:t>
      </w:r>
      <w:r w:rsidRPr="00A53353">
        <w:rPr>
          <w:rFonts w:ascii="Times New Roman" w:eastAsia="Times New Roman" w:hAnsi="Times New Roman" w:cs="Times New Roman"/>
          <w:sz w:val="24"/>
          <w:szCs w:val="24"/>
          <w:lang w:eastAsia="es-ES"/>
        </w:rPr>
        <w:t xml:space="preserve"> Si Pedro le vende la casa a Juan con pacto de retroventa, es decir, reservándose la facultad de recuperar la casa pagando al comprador un precio determinado o el mismo precio pagado por él, si se realiza un acontecimiento, que constituye una condición casual o mixta, o si Pedro quiere recuperarla, condición meramente potestativa de su parte. En estos casos, Pedro puede renunciar el derecho que el contrato le confiere y recomprar la casa; pero como no sería posible que Juan quedara en la incertidumbre tiene derecho para exigir de Pedro declare su determinación. Art. 1683 inciso 2º C. . Pregunta y contestación  elaborada por Lic. Luis Vásquez López 2003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7.-</w:t>
      </w:r>
      <w:r w:rsidRPr="00A53353">
        <w:rPr>
          <w:rFonts w:ascii="Times New Roman" w:eastAsia="Times New Roman" w:hAnsi="Times New Roman" w:cs="Times New Roman"/>
          <w:sz w:val="24"/>
          <w:szCs w:val="24"/>
          <w:lang w:eastAsia="es-ES"/>
        </w:rPr>
        <w:t xml:space="preserve"> Respuesta . </w:t>
      </w:r>
      <w:r w:rsidRPr="00A53353">
        <w:rPr>
          <w:rFonts w:ascii="Times New Roman" w:eastAsia="Times New Roman" w:hAnsi="Times New Roman" w:cs="Times New Roman"/>
          <w:b/>
          <w:bCs/>
          <w:sz w:val="24"/>
          <w:szCs w:val="24"/>
          <w:lang w:eastAsia="es-ES"/>
        </w:rPr>
        <w:t>c)</w:t>
      </w:r>
      <w:r w:rsidRPr="00A53353">
        <w:rPr>
          <w:rFonts w:ascii="Times New Roman" w:eastAsia="Times New Roman" w:hAnsi="Times New Roman" w:cs="Times New Roman"/>
          <w:sz w:val="24"/>
          <w:szCs w:val="24"/>
          <w:lang w:eastAsia="es-ES"/>
        </w:rPr>
        <w:t xml:space="preserve"> Estamos frente a una obligación alternativa, donde aunque se deban varias cosas, el pago de una de ellas libra al deudor de todas las demás. O sea que la ejecución de una de las cosas debidas alternativamente exonera de la ejecución de las otras; pero por lo mismo es necesario que la cosa sea ejecutada en su totalidad, porque determinada por la elección que de ella se ha hecho, la obligación debe ser cumplida a su respecto como si se tratara de una obligación pura y simple. En la obligación alternativa, se debe, en definitiva una de las dos cosas comprendidas en la alternativa; y no una parte de una de las cosas y una parte de la otra; elegida una de las cosas debidas, las demás dejan de existir para la obligación del deudor, quien queda exonerado de la ejecución de éstas. Art. 1370 C. Pregunta y contestación  elaborada por Lic. Luis Vásquez López 2003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8.-</w:t>
      </w:r>
      <w:r w:rsidRPr="00A53353">
        <w:rPr>
          <w:rFonts w:ascii="Times New Roman" w:eastAsia="Times New Roman" w:hAnsi="Times New Roman" w:cs="Times New Roman"/>
          <w:sz w:val="24"/>
          <w:szCs w:val="24"/>
          <w:lang w:eastAsia="es-ES"/>
        </w:rPr>
        <w:t xml:space="preserve"> Respuesta </w:t>
      </w:r>
      <w:r w:rsidRPr="00A53353">
        <w:rPr>
          <w:rFonts w:ascii="Times New Roman" w:eastAsia="Times New Roman" w:hAnsi="Times New Roman" w:cs="Times New Roman"/>
          <w:b/>
          <w:bCs/>
          <w:sz w:val="24"/>
          <w:szCs w:val="24"/>
          <w:lang w:eastAsia="es-ES"/>
        </w:rPr>
        <w:t>b)</w:t>
      </w:r>
      <w:r w:rsidRPr="00A53353">
        <w:rPr>
          <w:rFonts w:ascii="Times New Roman" w:eastAsia="Times New Roman" w:hAnsi="Times New Roman" w:cs="Times New Roman"/>
          <w:sz w:val="24"/>
          <w:szCs w:val="24"/>
          <w:lang w:eastAsia="es-ES"/>
        </w:rPr>
        <w:t xml:space="preserve"> .Toda obligación tiene por objeto una cosa, que el deudor se obliga a dar, o un hecho que el deudor se obliga a hacer o no hacer, según de la definición del concepto de “obligación”. Cosa o hecho de la obligación debe ser expresado claramente a fin de que no haya duda respecto de la prestación a que el deudor se obliga; pero la ley no exige una determinación absolutamente precisa, hecha en el acto o contrato que contiene la obligación y admite gradaciones en esta determinación, que hacen que las obligaciones se distingan las unas de las otras.</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El objeto de la obligación, debe ser, por lo mismo, una cosa cierta, aunque no se halle expresamente determinada. Estas expresiones no son sinónimas: una cosa puede ser cierta, aunque no se encuentre determinada y sea solo determinable, como ocurre por ejemplo, con la obligación de prestar alimentos, con la de indemnizar perjuicios. Así, si la una persona se obliga a indemnizar a otra los daños y perjuicios que pueda sufrir en una ocasión tal o cual, la obligación es válida, aunque la cantidad de dinero a que la indemnización asciende no sea aun determinada, porque es determinable por la estimación que de ella se haga. Pregunta y contestación  elaborada por Lic. Luis Vásquez López 2003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9.-</w:t>
      </w:r>
      <w:r w:rsidRPr="00A53353">
        <w:rPr>
          <w:rFonts w:ascii="Times New Roman" w:eastAsia="Times New Roman" w:hAnsi="Times New Roman" w:cs="Times New Roman"/>
          <w:sz w:val="24"/>
          <w:szCs w:val="24"/>
          <w:lang w:eastAsia="es-ES"/>
        </w:rPr>
        <w:t xml:space="preserve"> Respuesta </w:t>
      </w:r>
      <w:r w:rsidRPr="00A53353">
        <w:rPr>
          <w:rFonts w:ascii="Times New Roman" w:eastAsia="Times New Roman" w:hAnsi="Times New Roman" w:cs="Times New Roman"/>
          <w:b/>
          <w:bCs/>
          <w:sz w:val="24"/>
          <w:szCs w:val="24"/>
          <w:lang w:eastAsia="es-ES"/>
        </w:rPr>
        <w:t>b)</w:t>
      </w:r>
      <w:r w:rsidRPr="00A53353">
        <w:rPr>
          <w:rFonts w:ascii="Times New Roman" w:eastAsia="Times New Roman" w:hAnsi="Times New Roman" w:cs="Times New Roman"/>
          <w:sz w:val="24"/>
          <w:szCs w:val="24"/>
          <w:lang w:eastAsia="es-ES"/>
        </w:rPr>
        <w:t xml:space="preserve"> ./ Dispone el Art. 1326 C. “El error acerca de la persona con quien se tiene intención de contratar no vicia el consentimiento, salvo que la consideración de esta persona sea la causa principal del contrato”. La persona es ordinariamente indiferente para los efectos de la convención, puesto que en esta se persigue es obtener de la otra una prestación, una cosa cuyo dominio, goce, posesión o tenencia debe ser entregado, o un hecho que debe ser ejecutado o no, y es por lo mismo, indiferente la persona que deba solucionar tal prestación. Pregunta y contestación  elaborada por Lic. Luis Vásquez López 2003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10.</w:t>
      </w:r>
      <w:r w:rsidRPr="00A53353">
        <w:rPr>
          <w:rFonts w:ascii="Times New Roman" w:eastAsia="Times New Roman" w:hAnsi="Times New Roman" w:cs="Times New Roman"/>
          <w:sz w:val="24"/>
          <w:szCs w:val="24"/>
          <w:lang w:eastAsia="es-ES"/>
        </w:rPr>
        <w:t xml:space="preserve"> Respuesta </w:t>
      </w:r>
      <w:r w:rsidRPr="00A53353">
        <w:rPr>
          <w:rFonts w:ascii="Times New Roman" w:eastAsia="Times New Roman" w:hAnsi="Times New Roman" w:cs="Times New Roman"/>
          <w:b/>
          <w:bCs/>
          <w:sz w:val="24"/>
          <w:szCs w:val="24"/>
          <w:lang w:eastAsia="es-ES"/>
        </w:rPr>
        <w:t>d)</w:t>
      </w:r>
      <w:r w:rsidRPr="00A53353">
        <w:rPr>
          <w:rFonts w:ascii="Times New Roman" w:eastAsia="Times New Roman" w:hAnsi="Times New Roman" w:cs="Times New Roman"/>
          <w:sz w:val="24"/>
          <w:szCs w:val="24"/>
          <w:lang w:eastAsia="es-ES"/>
        </w:rPr>
        <w:t xml:space="preserve"> .Aunque el Código Civil nada dice sobre el error en que pueden hallarse las partes, o una de ellas, con respecto al motivo que las ha determinado a contratar. Al estudiar la causa del contrato, los motivos o razones que cada una de las partes pueda tener para celebrar un contrato, no afectan ni la existencia ni la validez del contrato, porque no constituyen la causa de la convención. La ley dice que se entiende por causa el motivo que induce al acto o contrato (Art. 1338 inc. 2º C); pero el motivo del contrato no es el motivo que sirve de móvil a cada una de las partes para contratar. La causa o motivo jurídico es el propósito perseguido, el elemento intencional, inherente a cada acto o contrato, implicado por la naturaleza del acto o contrato, y por consiguiente invariable, quienesquiera que sean los que ejecutan el acto o contrato y por lo tanto conocido de las dos partes a la vez. El motivo, al contrario, es la intención que el deudor ha tenido, al considerar este propósito inmediato del contrato, no implicado por la naturaleza del contrato y absolutamente variable según las circunstancias, puramente personal al que se obliga y que la otra parte no está obligada a tomar en consideración. Por consiguiente, si dos personas contratan en forma idéntica, aunque sea por medio de representante o apoderado, la causa de su obligación será siempre la misma; pero el motivo podrá variar al infinito. El error sobre la causa es un obstáculo a la formación del contrato porque la obligación contractual carecería de causa; es un caso de error obstáculo: el error sobre el motivo queda sin influencia en el contrato, porque no vicia el consentimiento. Pregunta y contestación  elaborada por Lic. Luis Vásquez López 2003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11.-</w:t>
      </w:r>
      <w:r w:rsidRPr="00A53353">
        <w:rPr>
          <w:rFonts w:ascii="Times New Roman" w:eastAsia="Times New Roman" w:hAnsi="Times New Roman" w:cs="Times New Roman"/>
          <w:sz w:val="24"/>
          <w:szCs w:val="24"/>
          <w:lang w:eastAsia="es-ES"/>
        </w:rPr>
        <w:t xml:space="preserve"> Respuesta </w:t>
      </w:r>
      <w:r w:rsidRPr="00A53353">
        <w:rPr>
          <w:rFonts w:ascii="Times New Roman" w:eastAsia="Times New Roman" w:hAnsi="Times New Roman" w:cs="Times New Roman"/>
          <w:b/>
          <w:bCs/>
          <w:sz w:val="24"/>
          <w:szCs w:val="24"/>
          <w:lang w:eastAsia="es-ES"/>
        </w:rPr>
        <w:t>b)</w:t>
      </w:r>
      <w:r w:rsidRPr="00A53353">
        <w:rPr>
          <w:rFonts w:ascii="Times New Roman" w:eastAsia="Times New Roman" w:hAnsi="Times New Roman" w:cs="Times New Roman"/>
          <w:sz w:val="24"/>
          <w:szCs w:val="24"/>
          <w:lang w:eastAsia="es-ES"/>
        </w:rPr>
        <w:t xml:space="preserve"> La disolución del contrato por el mutuo consentimiento de las partes que lo habían formado, no produce sus efectos sino en el porvenir. El pasado no pertenece a las partes contratantes; no tienen el poder de suprimir lo que el pasado contiene y borrar los hechos que en él han realizado. Por consiguiente será necesario que el comprador le transfiera al vendedor el dominio del inmueble por una nueva compraventa y la competente inscripción. Art. 1438 inciso 1º y 1416 C. Pregunta y contestación  elaborada por Lic. Luis Vásquez López 2003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12.- Respuesta c)</w:t>
      </w:r>
      <w:r w:rsidRPr="00A53353">
        <w:rPr>
          <w:rFonts w:ascii="Times New Roman" w:eastAsia="Times New Roman" w:hAnsi="Times New Roman" w:cs="Times New Roman"/>
          <w:sz w:val="24"/>
          <w:szCs w:val="24"/>
          <w:lang w:eastAsia="es-ES"/>
        </w:rPr>
        <w:t>  En caso de que los contrayentes expresen que reconocerán como hijos en el acto de matrimonio, lo pueden hacer de hijos vivos o fallecidos; en todos estos casos ser relacionarán las certificaciones de las partidas de nacimiento de los hijos que se reconocerán y que hayan nacido; igualmente las de defunción del hijo fallecido. El Art. 144 del Codigo de Familia dice que el padre podrá reconocer al hijo concebido y al hijo fallecido, por cualquiera de los medios establecidos en este Código que fueren aplicables. El reconocimiento del  hijo fallecido solamente aprovechará a su descendencia. Pregunta y contestación  elaborada por Lic. Luis Vásquez López 2003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13.-</w:t>
      </w:r>
      <w:r w:rsidRPr="00A53353">
        <w:rPr>
          <w:rFonts w:ascii="Times New Roman" w:eastAsia="Times New Roman" w:hAnsi="Times New Roman" w:cs="Times New Roman"/>
          <w:sz w:val="24"/>
          <w:szCs w:val="24"/>
          <w:lang w:eastAsia="es-ES"/>
        </w:rPr>
        <w:t xml:space="preserve"> Respuesta </w:t>
      </w:r>
      <w:r w:rsidRPr="00A53353">
        <w:rPr>
          <w:rFonts w:ascii="Times New Roman" w:eastAsia="Times New Roman" w:hAnsi="Times New Roman" w:cs="Times New Roman"/>
          <w:b/>
          <w:bCs/>
          <w:sz w:val="24"/>
          <w:szCs w:val="24"/>
          <w:lang w:eastAsia="es-ES"/>
        </w:rPr>
        <w:t>c) .</w:t>
      </w:r>
      <w:r w:rsidRPr="00A53353">
        <w:rPr>
          <w:rFonts w:ascii="Times New Roman" w:eastAsia="Times New Roman" w:hAnsi="Times New Roman" w:cs="Times New Roman"/>
          <w:sz w:val="24"/>
          <w:szCs w:val="24"/>
          <w:lang w:eastAsia="es-ES"/>
        </w:rPr>
        <w:t xml:space="preserve"> En el mismo ordinal 5º del Art. 32 de la Ley de Notariado se expresa que los testigos de identificación o conocimiento deben ser “conocidos del notario”; en cambio, en el Art. 22 del Código de Familia, sólo se dice los menores “serán identificados por medio de dos testigos”  sin exigirse aquel conocimiento, por lo cual se ha considerado que tales testigos, en el caso regulado por el Código de Familia – que es ley especial en relación a la Ley de Notariado -, pueden no ser conocidos del notario. Además, tal interpretación se robustece con el propósito del legislador , consistentemente manifestado en diversas disposiciones, de eliminar para el caso del matrimonio todos los ritualismos y requisitos innecesarios, a fin de facilitar su celebración. Pregunta y contestación  elaborada por Lic. Luis Vásquez López 2003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 xml:space="preserve">14.- </w:t>
      </w:r>
      <w:r w:rsidRPr="00A53353">
        <w:rPr>
          <w:rFonts w:ascii="Times New Roman" w:eastAsia="Times New Roman" w:hAnsi="Times New Roman" w:cs="Times New Roman"/>
          <w:sz w:val="24"/>
          <w:szCs w:val="24"/>
          <w:lang w:eastAsia="es-ES"/>
        </w:rPr>
        <w:t xml:space="preserve">Respuesta </w:t>
      </w:r>
      <w:r w:rsidRPr="00A53353">
        <w:rPr>
          <w:rFonts w:ascii="Times New Roman" w:eastAsia="Times New Roman" w:hAnsi="Times New Roman" w:cs="Times New Roman"/>
          <w:b/>
          <w:bCs/>
          <w:sz w:val="24"/>
          <w:szCs w:val="24"/>
          <w:lang w:eastAsia="es-ES"/>
        </w:rPr>
        <w:t>c)</w:t>
      </w:r>
      <w:r w:rsidRPr="00A53353">
        <w:rPr>
          <w:rFonts w:ascii="Times New Roman" w:eastAsia="Times New Roman" w:hAnsi="Times New Roman" w:cs="Times New Roman"/>
          <w:sz w:val="24"/>
          <w:szCs w:val="24"/>
          <w:lang w:eastAsia="es-ES"/>
        </w:rPr>
        <w:t xml:space="preserve"> En el mismo ordinal 5º del Art. 32 de la Ley de Notariado se expresa que los testigos de identificación o conocimiento deben ser “conocidos del notario”; en cambio, en el Art. 22 del Código de Familia, sólo se dice los menores “serán identificados por medio de dos testigos”  sin exigirse aquel conocimiento, por lo cual se ha considerado que tales testigos, en el caso regulado por el Código de Familia – que es ley especial en relación a la Ley de Notariado -, pueden no ser conocidos del notario. Además, tal interpretación se robustece con el propósito del legislador , consistentemente manifestado en diversas disposiciones, de eliminar para el caso del matrimonio todos los ritualismos y requisitos innecesarios, a fin de facilitar su celebración. Pregunta y contestación  elaborada por Lic. Luis Vásquez López 2003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 xml:space="preserve">15.- </w:t>
      </w:r>
      <w:r w:rsidRPr="00A53353">
        <w:rPr>
          <w:rFonts w:ascii="Times New Roman" w:eastAsia="Times New Roman" w:hAnsi="Times New Roman" w:cs="Times New Roman"/>
          <w:sz w:val="24"/>
          <w:szCs w:val="24"/>
          <w:lang w:eastAsia="es-ES"/>
        </w:rPr>
        <w:t>Respuesta c)</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Al constituirse la sociedad el capital social debe de estar íntegramente suscrito, exhibiendo como mínimo el cinco por ciento del valor de cada participación social. Estableciendo el mecanismo de pago de las partes de capital insolutas, el cual no puede exceder de un año, contado desde su inscripción en el registro de comercio, si el capital social es de cien mil dólares, el plazo no excederá de cinco años. Art. 106 Código de Comercio Pregunta y contestación  elaborada por Lic. Luis Vásquez López 2003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16.-</w:t>
      </w:r>
      <w:r w:rsidRPr="00A53353">
        <w:rPr>
          <w:rFonts w:ascii="Times New Roman" w:eastAsia="Times New Roman" w:hAnsi="Times New Roman" w:cs="Times New Roman"/>
          <w:sz w:val="24"/>
          <w:szCs w:val="24"/>
          <w:lang w:eastAsia="es-ES"/>
        </w:rPr>
        <w:t xml:space="preserve"> Respuesta: e)</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El Art. 23 de la Ley Orgánica del BCR manifiesta:</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i/>
          <w:iCs/>
          <w:sz w:val="24"/>
          <w:szCs w:val="24"/>
          <w:lang w:eastAsia="es-ES"/>
        </w:rPr>
        <w:t xml:space="preserve">“Corresponderá al Consejo: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i/>
          <w:iCs/>
          <w:sz w:val="24"/>
          <w:szCs w:val="24"/>
          <w:lang w:eastAsia="es-ES"/>
        </w:rPr>
        <w:t>b) Aprobar el Programa Monetario</w:t>
      </w:r>
      <w:r w:rsidRPr="00A53353">
        <w:rPr>
          <w:rFonts w:ascii="Times New Roman" w:eastAsia="Times New Roman" w:hAnsi="Times New Roman" w:cs="Times New Roman"/>
          <w:sz w:val="24"/>
          <w:szCs w:val="24"/>
          <w:lang w:eastAsia="es-ES"/>
        </w:rPr>
        <w:t xml:space="preserve"> Pregunta y contestación  elaborada por Lic. Luis Vásquez López 2003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17.-</w:t>
      </w:r>
      <w:r w:rsidRPr="00A53353">
        <w:rPr>
          <w:rFonts w:ascii="Times New Roman" w:eastAsia="Times New Roman" w:hAnsi="Times New Roman" w:cs="Times New Roman"/>
          <w:sz w:val="24"/>
          <w:szCs w:val="24"/>
          <w:lang w:eastAsia="es-ES"/>
        </w:rPr>
        <w:t xml:space="preserve"> Respuesta:c)</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La falta de inscripción hace incurrir a los socios con respecto a terceros en responsabilidad solidaria e ilimitada, sin perjuicio de lo que dispone el Art. 353 de el Código de Comercio. Art. 111. Código de Comercio Pregunta y contestación  elaborada por Lic. Luis Vásquez López 2003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18.-</w:t>
      </w:r>
      <w:r w:rsidRPr="00A53353">
        <w:rPr>
          <w:rFonts w:ascii="Times New Roman" w:eastAsia="Times New Roman" w:hAnsi="Times New Roman" w:cs="Times New Roman"/>
          <w:sz w:val="24"/>
          <w:szCs w:val="24"/>
          <w:lang w:eastAsia="es-ES"/>
        </w:rPr>
        <w:t xml:space="preserve"> </w:t>
      </w:r>
      <w:r w:rsidRPr="00A53353">
        <w:rPr>
          <w:rFonts w:ascii="Times New Roman" w:eastAsia="Times New Roman" w:hAnsi="Times New Roman" w:cs="Times New Roman"/>
          <w:b/>
          <w:bCs/>
          <w:sz w:val="24"/>
          <w:szCs w:val="24"/>
          <w:lang w:eastAsia="es-ES"/>
        </w:rPr>
        <w:t xml:space="preserve">Respuesta: e)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El Art. 44 de la Ley Orgánica del BCR manifiesta:</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i/>
          <w:iCs/>
          <w:sz w:val="24"/>
          <w:szCs w:val="24"/>
          <w:lang w:eastAsia="es-ES"/>
        </w:rPr>
        <w:t>“Ninguna persona natural o jurídica tendrá la obligación de recibir moneda metálica en un proporción mayor del 10% de la cantidad que deba pagársele, y en todo caso por una cantidad no mayor de quinientos colones. Sin embargo, en las oficinas fiscales y municipales deberán recibir en pago de impuestos, tasas y multas, cualquier cantidad en dichas monedas.”</w:t>
      </w:r>
      <w:r w:rsidRPr="00A53353">
        <w:rPr>
          <w:rFonts w:ascii="Times New Roman" w:eastAsia="Times New Roman" w:hAnsi="Times New Roman" w:cs="Times New Roman"/>
          <w:sz w:val="24"/>
          <w:szCs w:val="24"/>
          <w:lang w:eastAsia="es-ES"/>
        </w:rPr>
        <w:t xml:space="preserve"> Pregunta y contestación  elaborada por Lic. Luis Vásquez López 2003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i/>
          <w:iCs/>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19</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Respuesta</w:t>
      </w:r>
      <w:r w:rsidRPr="00A53353">
        <w:rPr>
          <w:rFonts w:ascii="Times New Roman" w:eastAsia="Times New Roman" w:hAnsi="Times New Roman" w:cs="Times New Roman"/>
          <w:b/>
          <w:bCs/>
          <w:sz w:val="24"/>
          <w:szCs w:val="24"/>
          <w:lang w:eastAsia="es-ES"/>
        </w:rPr>
        <w:t>: a)</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El Art. 36 de la Ley Orgánica del BCR manifiesta:</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i/>
          <w:iCs/>
          <w:sz w:val="24"/>
          <w:szCs w:val="24"/>
          <w:lang w:eastAsia="es-ES"/>
        </w:rPr>
        <w:t>“La unidad monetaria de la República es el colón.”</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Ahora bien, el Art. 1 de la Ley de Integración monetaria lo que nos define es el tipo de cambio entre el colón y el dólar de los Estados Unidos de América, el cual es fijo e inalterable, a razón de ocho colones con setenta y cinco centavos por dólar de los Estados Unidos de América.</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El Art. 3 de la Ley de Integración Monetaria nos sigue manifestando:</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i/>
          <w:iCs/>
          <w:sz w:val="24"/>
          <w:szCs w:val="24"/>
          <w:lang w:eastAsia="es-ES"/>
        </w:rPr>
        <w:t>“El dólar tendrá curso legal irrestricto con poder liberatorio ilimitado para el pago de obligaciones en dinero en el territorio nacional.”</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Por lo que don Mardoqueo está en lo legal en pedir que la suma adeudada conste en colones. Aunque a la hora de su pago el mutuario puede perfectamente pagarla en colones o su equivalente en dólares a razón de 1 dólar por 8.75 colones. Pregunta y contestación  elaborada por Lic. Luis Vásquez López 2003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 xml:space="preserve">20.- </w:t>
      </w:r>
      <w:r w:rsidRPr="00A53353">
        <w:rPr>
          <w:rFonts w:ascii="Times New Roman" w:eastAsia="Times New Roman" w:hAnsi="Times New Roman" w:cs="Times New Roman"/>
          <w:sz w:val="24"/>
          <w:szCs w:val="24"/>
          <w:lang w:eastAsia="es-ES"/>
        </w:rPr>
        <w:t xml:space="preserve">Respuesta: </w:t>
      </w:r>
      <w:r w:rsidRPr="00A53353">
        <w:rPr>
          <w:rFonts w:ascii="Times New Roman" w:eastAsia="Times New Roman" w:hAnsi="Times New Roman" w:cs="Times New Roman"/>
          <w:b/>
          <w:bCs/>
          <w:sz w:val="24"/>
          <w:szCs w:val="24"/>
          <w:lang w:eastAsia="es-ES"/>
        </w:rPr>
        <w:t>c)</w:t>
      </w:r>
      <w:r w:rsidRPr="00A53353">
        <w:rPr>
          <w:rFonts w:ascii="Times New Roman" w:eastAsia="Times New Roman" w:hAnsi="Times New Roman" w:cs="Times New Roman"/>
          <w:sz w:val="24"/>
          <w:szCs w:val="24"/>
          <w:lang w:eastAsia="es-ES"/>
        </w:rPr>
        <w:t xml:space="preserve"> </w:t>
      </w:r>
      <w:r w:rsidRPr="00A53353">
        <w:rPr>
          <w:rFonts w:ascii="Times New Roman" w:eastAsia="Times New Roman" w:hAnsi="Times New Roman" w:cs="Times New Roman"/>
          <w:b/>
          <w:bCs/>
          <w:sz w:val="24"/>
          <w:szCs w:val="24"/>
          <w:lang w:eastAsia="es-ES"/>
        </w:rPr>
        <w:t> </w:t>
      </w:r>
      <w:r w:rsidRPr="00A53353">
        <w:rPr>
          <w:rFonts w:ascii="Times New Roman" w:eastAsia="Times New Roman" w:hAnsi="Times New Roman" w:cs="Times New Roman"/>
          <w:sz w:val="24"/>
          <w:szCs w:val="24"/>
          <w:lang w:eastAsia="es-ES"/>
        </w:rPr>
        <w:t>De conformidad con el Art. 94 de la Ley de Asociaciones y Fundaciones sin fines de lucro dice: “No obstante lo dispuesto en esta ley, las disposiciones del Título XXX del Libro Primero del Código Civil, se continuarán aplicando única y exclusivamente para el reconocimiento</w:t>
      </w:r>
      <w:r w:rsidRPr="00A53353">
        <w:rPr>
          <w:rFonts w:ascii="Times New Roman" w:eastAsia="Times New Roman" w:hAnsi="Times New Roman" w:cs="Times New Roman"/>
          <w:b/>
          <w:bCs/>
          <w:sz w:val="24"/>
          <w:szCs w:val="24"/>
          <w:lang w:eastAsia="es-ES"/>
        </w:rPr>
        <w:t xml:space="preserve"> de la personalidad jurídica de las Iglesias. </w:t>
      </w:r>
      <w:r w:rsidRPr="00A53353">
        <w:rPr>
          <w:rFonts w:ascii="Times New Roman" w:eastAsia="Times New Roman" w:hAnsi="Times New Roman" w:cs="Times New Roman"/>
          <w:sz w:val="24"/>
          <w:szCs w:val="24"/>
          <w:lang w:eastAsia="es-ES"/>
        </w:rPr>
        <w:t>Pregunta y contestación  elaborada por Lic. Luis Vásquez López 2003 ®</w:t>
      </w:r>
    </w:p>
    <w:p w:rsidR="00A53353" w:rsidRPr="00A53353" w:rsidRDefault="00A53353" w:rsidP="00A53353">
      <w:pPr>
        <w:spacing w:before="100" w:beforeAutospacing="1" w:after="100" w:afterAutospacing="1" w:line="240" w:lineRule="auto"/>
        <w:rPr>
          <w:rFonts w:ascii="Times New Roman" w:eastAsia="Times New Roman" w:hAnsi="Times New Roman" w:cs="Times New Roman"/>
          <w:sz w:val="24"/>
          <w:szCs w:val="24"/>
          <w:lang w:eastAsia="es-ES"/>
        </w:rPr>
      </w:pPr>
      <w:r w:rsidRPr="00A53353">
        <w:rPr>
          <w:rFonts w:ascii="Times New Roman" w:eastAsia="Times New Roman" w:hAnsi="Times New Roman" w:cs="Times New Roman"/>
          <w:b/>
          <w:bCs/>
          <w:sz w:val="24"/>
          <w:szCs w:val="24"/>
          <w:lang w:eastAsia="es-ES"/>
        </w:rPr>
        <w:t> </w:t>
      </w:r>
    </w:p>
    <w:p w:rsidR="00446921" w:rsidRDefault="00446921"/>
    <w:sectPr w:rsidR="00446921" w:rsidSect="00446921">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34146"/>
    <w:multiLevelType w:val="multilevel"/>
    <w:tmpl w:val="A6907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18255A9"/>
    <w:multiLevelType w:val="multilevel"/>
    <w:tmpl w:val="EF949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93D0C9E"/>
    <w:multiLevelType w:val="multilevel"/>
    <w:tmpl w:val="2654B0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84F318A"/>
    <w:multiLevelType w:val="multilevel"/>
    <w:tmpl w:val="6C5A3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compat/>
  <w:rsids>
    <w:rsidRoot w:val="00A53353"/>
    <w:rsid w:val="00446921"/>
    <w:rsid w:val="00A53353"/>
    <w:rsid w:val="00D16A1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921"/>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A53353"/>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A53353"/>
    <w:rPr>
      <w:b/>
      <w:bCs/>
    </w:rPr>
  </w:style>
  <w:style w:type="character" w:styleId="nfasis">
    <w:name w:val="Emphasis"/>
    <w:basedOn w:val="Fuentedeprrafopredeter"/>
    <w:uiPriority w:val="20"/>
    <w:qFormat/>
    <w:rsid w:val="00A53353"/>
    <w:rPr>
      <w:i/>
      <w:iCs/>
    </w:rPr>
  </w:style>
</w:styles>
</file>

<file path=word/webSettings.xml><?xml version="1.0" encoding="utf-8"?>
<w:webSettings xmlns:r="http://schemas.openxmlformats.org/officeDocument/2006/relationships" xmlns:w="http://schemas.openxmlformats.org/wordprocessingml/2006/main">
  <w:divs>
    <w:div w:id="99686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4604</Words>
  <Characters>25325</Characters>
  <Application>Microsoft Office Word</Application>
  <DocSecurity>0</DocSecurity>
  <Lines>211</Lines>
  <Paragraphs>59</Paragraphs>
  <ScaleCrop>false</ScaleCrop>
  <Company/>
  <LinksUpToDate>false</LinksUpToDate>
  <CharactersWithSpaces>29870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TOSHIBA</cp:lastModifiedBy>
  <cp:revision>1</cp:revision>
  <dcterms:created xsi:type="dcterms:W3CDTF">2006-02-10T06:06:00Z</dcterms:created>
  <dcterms:modified xsi:type="dcterms:W3CDTF">2006-02-10T06:06:00Z</dcterms:modified>
</cp:coreProperties>
</file>